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093F889" w:rsidR="00A209D6" w:rsidRPr="00A01338" w:rsidRDefault="00A209D6" w:rsidP="003A09D5">
      <w:pPr>
        <w:pStyle w:val="Header"/>
        <w:tabs>
          <w:tab w:val="right" w:pos="9639"/>
        </w:tabs>
        <w:jc w:val="both"/>
        <w:rPr>
          <w:bCs/>
          <w:i/>
          <w:noProof w:val="0"/>
          <w:sz w:val="24"/>
          <w:szCs w:val="24"/>
        </w:rPr>
      </w:pPr>
      <w:r w:rsidRPr="00A01338">
        <w:rPr>
          <w:bCs/>
          <w:noProof w:val="0"/>
          <w:sz w:val="24"/>
          <w:szCs w:val="24"/>
        </w:rPr>
        <w:t>3GPP TSG-RAN WG2 Meeting #</w:t>
      </w:r>
      <w:r w:rsidR="0036459E" w:rsidRPr="00A01338">
        <w:rPr>
          <w:bCs/>
          <w:noProof w:val="0"/>
          <w:sz w:val="24"/>
          <w:szCs w:val="24"/>
        </w:rPr>
        <w:t>11</w:t>
      </w:r>
      <w:r w:rsidR="00D80129" w:rsidRPr="00A01338">
        <w:rPr>
          <w:bCs/>
          <w:noProof w:val="0"/>
          <w:sz w:val="24"/>
          <w:szCs w:val="24"/>
        </w:rPr>
        <w:t>6</w:t>
      </w:r>
      <w:r w:rsidR="00244A05" w:rsidRPr="00A01338">
        <w:rPr>
          <w:bCs/>
          <w:noProof w:val="0"/>
          <w:sz w:val="24"/>
          <w:szCs w:val="24"/>
        </w:rPr>
        <w:t xml:space="preserve"> Electronic</w:t>
      </w:r>
      <w:r w:rsidRPr="00A01338">
        <w:rPr>
          <w:bCs/>
          <w:noProof w:val="0"/>
          <w:sz w:val="24"/>
          <w:szCs w:val="24"/>
        </w:rPr>
        <w:tab/>
      </w:r>
      <w:bookmarkStart w:id="0" w:name="_Hlk67482467"/>
      <w:r w:rsidRPr="00A01338">
        <w:rPr>
          <w:bCs/>
          <w:noProof w:val="0"/>
          <w:sz w:val="24"/>
          <w:szCs w:val="24"/>
        </w:rPr>
        <w:t>R2-</w:t>
      </w:r>
      <w:r w:rsidR="009376CD" w:rsidRPr="00A01338">
        <w:rPr>
          <w:bCs/>
          <w:noProof w:val="0"/>
          <w:sz w:val="24"/>
          <w:szCs w:val="24"/>
        </w:rPr>
        <w:t>2</w:t>
      </w:r>
      <w:r w:rsidR="00C55A12" w:rsidRPr="00A01338">
        <w:rPr>
          <w:bCs/>
          <w:noProof w:val="0"/>
          <w:sz w:val="24"/>
          <w:szCs w:val="24"/>
        </w:rPr>
        <w:t>1</w:t>
      </w:r>
      <w:r w:rsidR="00550050" w:rsidRPr="00A01338">
        <w:rPr>
          <w:bCs/>
          <w:noProof w:val="0"/>
          <w:sz w:val="24"/>
          <w:szCs w:val="24"/>
        </w:rPr>
        <w:t>1</w:t>
      </w:r>
      <w:r w:rsidR="00C55A12" w:rsidRPr="00A01338">
        <w:rPr>
          <w:bCs/>
          <w:noProof w:val="0"/>
          <w:sz w:val="24"/>
          <w:szCs w:val="24"/>
        </w:rPr>
        <w:t>0</w:t>
      </w:r>
      <w:r w:rsidR="00DE4E41" w:rsidRPr="00A01338">
        <w:rPr>
          <w:bCs/>
          <w:noProof w:val="0"/>
          <w:sz w:val="24"/>
          <w:szCs w:val="24"/>
        </w:rPr>
        <w:t>613</w:t>
      </w:r>
    </w:p>
    <w:p w14:paraId="11776FA6" w14:textId="5732713C" w:rsidR="00A209D6" w:rsidRPr="00A01338" w:rsidRDefault="009928A9" w:rsidP="003A09D5">
      <w:pPr>
        <w:pStyle w:val="Header"/>
        <w:tabs>
          <w:tab w:val="right" w:pos="9639"/>
        </w:tabs>
        <w:jc w:val="both"/>
        <w:rPr>
          <w:rFonts w:eastAsia="SimSun"/>
          <w:bCs/>
          <w:sz w:val="24"/>
          <w:szCs w:val="24"/>
          <w:lang w:eastAsia="zh-CN"/>
        </w:rPr>
      </w:pPr>
      <w:r w:rsidRPr="00A01338">
        <w:rPr>
          <w:rFonts w:eastAsia="SimSun"/>
          <w:bCs/>
          <w:sz w:val="24"/>
          <w:szCs w:val="24"/>
          <w:lang w:eastAsia="zh-CN"/>
        </w:rPr>
        <w:t>Elbonia</w:t>
      </w:r>
      <w:r w:rsidR="006574C0" w:rsidRPr="00A01338">
        <w:rPr>
          <w:rFonts w:eastAsia="SimSun"/>
          <w:bCs/>
          <w:sz w:val="24"/>
          <w:szCs w:val="24"/>
          <w:lang w:eastAsia="zh-CN"/>
        </w:rPr>
        <w:t xml:space="preserve">, </w:t>
      </w:r>
      <w:r w:rsidR="00E722A4" w:rsidRPr="00A01338">
        <w:rPr>
          <w:rFonts w:eastAsia="SimSun"/>
          <w:bCs/>
          <w:sz w:val="24"/>
          <w:szCs w:val="24"/>
          <w:lang w:eastAsia="zh-CN"/>
        </w:rPr>
        <w:t xml:space="preserve">1 – </w:t>
      </w:r>
      <w:r w:rsidR="00D80129" w:rsidRPr="00A01338">
        <w:rPr>
          <w:rFonts w:eastAsia="SimSun"/>
          <w:bCs/>
          <w:sz w:val="24"/>
          <w:szCs w:val="24"/>
          <w:lang w:eastAsia="zh-CN"/>
        </w:rPr>
        <w:t>1</w:t>
      </w:r>
      <w:r w:rsidR="00E722A4" w:rsidRPr="00A01338">
        <w:rPr>
          <w:rFonts w:eastAsia="SimSun"/>
          <w:bCs/>
          <w:sz w:val="24"/>
          <w:szCs w:val="24"/>
          <w:lang w:eastAsia="zh-CN"/>
        </w:rPr>
        <w:t xml:space="preserve">2 of </w:t>
      </w:r>
      <w:r w:rsidR="00D80129" w:rsidRPr="00A01338">
        <w:rPr>
          <w:rFonts w:eastAsia="SimSun"/>
          <w:bCs/>
          <w:sz w:val="24"/>
          <w:szCs w:val="24"/>
          <w:lang w:eastAsia="zh-CN"/>
        </w:rPr>
        <w:t>November</w:t>
      </w:r>
      <w:r w:rsidR="00FE106D" w:rsidRPr="00A01338">
        <w:rPr>
          <w:rFonts w:eastAsia="SimSun"/>
          <w:bCs/>
          <w:sz w:val="24"/>
          <w:szCs w:val="24"/>
          <w:lang w:eastAsia="zh-CN"/>
        </w:rPr>
        <w:t xml:space="preserve"> 2021</w:t>
      </w:r>
      <w:r w:rsidR="00A209D6" w:rsidRPr="00A01338">
        <w:rPr>
          <w:rFonts w:eastAsia="SimSun"/>
          <w:noProof w:val="0"/>
          <w:sz w:val="24"/>
          <w:szCs w:val="24"/>
          <w:lang w:eastAsia="zh-CN"/>
        </w:rPr>
        <w:tab/>
      </w:r>
      <w:r w:rsidR="00C04548" w:rsidRPr="00A01338">
        <w:rPr>
          <w:rFonts w:eastAsia="SimSun"/>
          <w:noProof w:val="0"/>
          <w:sz w:val="16"/>
          <w:szCs w:val="16"/>
          <w:lang w:eastAsia="zh-CN"/>
        </w:rPr>
        <w:t>revision of R2-210</w:t>
      </w:r>
      <w:r w:rsidR="00D80129" w:rsidRPr="00A01338">
        <w:rPr>
          <w:rFonts w:eastAsia="SimSun"/>
          <w:noProof w:val="0"/>
          <w:sz w:val="16"/>
          <w:szCs w:val="16"/>
          <w:lang w:eastAsia="zh-CN"/>
        </w:rPr>
        <w:t>7521</w:t>
      </w:r>
    </w:p>
    <w:p w14:paraId="2E02E5F5" w14:textId="77777777" w:rsidR="00A209D6" w:rsidRPr="00A01338" w:rsidRDefault="00A209D6" w:rsidP="003A09D5">
      <w:pPr>
        <w:pStyle w:val="Header"/>
        <w:jc w:val="both"/>
        <w:rPr>
          <w:bCs/>
          <w:noProof w:val="0"/>
          <w:sz w:val="24"/>
        </w:rPr>
      </w:pPr>
    </w:p>
    <w:p w14:paraId="403CB9C0" w14:textId="77777777" w:rsidR="00A209D6" w:rsidRPr="00A01338" w:rsidRDefault="00A209D6" w:rsidP="003A09D5">
      <w:pPr>
        <w:pStyle w:val="Header"/>
        <w:jc w:val="both"/>
        <w:rPr>
          <w:bCs/>
          <w:noProof w:val="0"/>
          <w:sz w:val="24"/>
        </w:rPr>
      </w:pPr>
    </w:p>
    <w:p w14:paraId="74AEDB1B" w14:textId="452EE576" w:rsidR="00A209D6" w:rsidRPr="00A01338" w:rsidRDefault="00A209D6" w:rsidP="003A09D5">
      <w:pPr>
        <w:pStyle w:val="CRCoverPage"/>
        <w:tabs>
          <w:tab w:val="left" w:pos="1985"/>
        </w:tabs>
        <w:jc w:val="both"/>
        <w:rPr>
          <w:rFonts w:cs="Arial"/>
          <w:b/>
          <w:bCs/>
          <w:sz w:val="24"/>
          <w:lang w:eastAsia="ja-JP"/>
        </w:rPr>
      </w:pPr>
      <w:r w:rsidRPr="00A01338">
        <w:rPr>
          <w:rFonts w:cs="Arial"/>
          <w:b/>
          <w:bCs/>
          <w:sz w:val="24"/>
        </w:rPr>
        <w:t>Agenda item:</w:t>
      </w:r>
      <w:r w:rsidRPr="00A01338">
        <w:rPr>
          <w:rFonts w:cs="Arial"/>
          <w:b/>
          <w:bCs/>
          <w:sz w:val="24"/>
        </w:rPr>
        <w:tab/>
      </w:r>
      <w:r w:rsidR="004E15FC" w:rsidRPr="00A01338">
        <w:rPr>
          <w:rFonts w:cs="Arial"/>
          <w:b/>
          <w:bCs/>
          <w:sz w:val="24"/>
          <w:lang w:eastAsia="ja-JP"/>
        </w:rPr>
        <w:t>8.10.3.</w:t>
      </w:r>
      <w:r w:rsidR="00DE4E41" w:rsidRPr="00A01338">
        <w:rPr>
          <w:rFonts w:cs="Arial"/>
          <w:b/>
          <w:bCs/>
          <w:sz w:val="24"/>
          <w:lang w:eastAsia="ja-JP"/>
        </w:rPr>
        <w:t>3</w:t>
      </w:r>
    </w:p>
    <w:p w14:paraId="73188B46" w14:textId="77777777" w:rsidR="00A209D6" w:rsidRPr="00A01338" w:rsidRDefault="00A209D6" w:rsidP="003A09D5">
      <w:pPr>
        <w:tabs>
          <w:tab w:val="left" w:pos="1985"/>
        </w:tabs>
        <w:ind w:left="1985" w:hanging="1985"/>
        <w:jc w:val="both"/>
        <w:rPr>
          <w:rFonts w:ascii="Arial" w:hAnsi="Arial" w:cs="Arial"/>
          <w:b/>
          <w:bCs/>
          <w:sz w:val="24"/>
        </w:rPr>
      </w:pPr>
      <w:r w:rsidRPr="00A01338">
        <w:rPr>
          <w:rFonts w:ascii="Arial" w:hAnsi="Arial" w:cs="Arial"/>
          <w:b/>
          <w:bCs/>
          <w:sz w:val="24"/>
        </w:rPr>
        <w:t>Source:</w:t>
      </w:r>
      <w:r w:rsidRPr="00A01338">
        <w:rPr>
          <w:rFonts w:ascii="Arial" w:hAnsi="Arial" w:cs="Arial"/>
          <w:b/>
          <w:bCs/>
          <w:sz w:val="24"/>
        </w:rPr>
        <w:tab/>
        <w:t>Nokia, Nokia Shanghai Bell</w:t>
      </w:r>
    </w:p>
    <w:p w14:paraId="0FA3EF00" w14:textId="0D577D05" w:rsidR="00A209D6" w:rsidRDefault="00A209D6" w:rsidP="003A09D5">
      <w:pPr>
        <w:ind w:left="1985" w:hanging="1985"/>
        <w:jc w:val="both"/>
        <w:rPr>
          <w:rFonts w:ascii="Arial" w:hAnsi="Arial" w:cs="Arial"/>
          <w:b/>
          <w:bCs/>
          <w:sz w:val="24"/>
        </w:rPr>
      </w:pPr>
      <w:r w:rsidRPr="00A01338">
        <w:rPr>
          <w:rFonts w:ascii="Arial" w:hAnsi="Arial" w:cs="Arial"/>
          <w:b/>
          <w:bCs/>
          <w:sz w:val="24"/>
        </w:rPr>
        <w:t>Title:</w:t>
      </w:r>
      <w:r w:rsidRPr="00A01338">
        <w:rPr>
          <w:rFonts w:ascii="Arial" w:hAnsi="Arial" w:cs="Arial"/>
          <w:b/>
          <w:bCs/>
          <w:sz w:val="24"/>
        </w:rPr>
        <w:tab/>
      </w:r>
      <w:r w:rsidR="00344904" w:rsidRPr="00A01338">
        <w:rPr>
          <w:rFonts w:ascii="Arial" w:hAnsi="Arial" w:cs="Arial"/>
          <w:b/>
          <w:bCs/>
          <w:sz w:val="24"/>
        </w:rPr>
        <w:t>F</w:t>
      </w:r>
      <w:r w:rsidR="00D80129" w:rsidRPr="00A01338">
        <w:rPr>
          <w:rFonts w:ascii="Arial" w:hAnsi="Arial" w:cs="Arial"/>
          <w:b/>
          <w:bCs/>
          <w:sz w:val="24"/>
        </w:rPr>
        <w:t>inal</w:t>
      </w:r>
      <w:r w:rsidR="00344904" w:rsidRPr="00A01338">
        <w:rPr>
          <w:rFonts w:ascii="Arial" w:hAnsi="Arial" w:cs="Arial"/>
          <w:b/>
          <w:bCs/>
          <w:sz w:val="24"/>
        </w:rPr>
        <w:t xml:space="preserve"> v</w:t>
      </w:r>
      <w:r w:rsidR="00DD3E96" w:rsidRPr="00A01338">
        <w:rPr>
          <w:rFonts w:ascii="Arial" w:hAnsi="Arial" w:cs="Arial"/>
          <w:b/>
          <w:bCs/>
          <w:sz w:val="24"/>
        </w:rPr>
        <w:t>iews on SMTC</w:t>
      </w:r>
      <w:r w:rsidR="00BC3DAE" w:rsidRPr="00A01338">
        <w:rPr>
          <w:rFonts w:ascii="Arial" w:hAnsi="Arial" w:cs="Arial"/>
          <w:b/>
          <w:bCs/>
          <w:sz w:val="24"/>
        </w:rPr>
        <w:t xml:space="preserve"> </w:t>
      </w:r>
      <w:r w:rsidR="006704C6" w:rsidRPr="00A01338">
        <w:rPr>
          <w:rFonts w:ascii="Arial" w:hAnsi="Arial" w:cs="Arial"/>
          <w:b/>
          <w:bCs/>
          <w:sz w:val="24"/>
        </w:rPr>
        <w:t xml:space="preserve">and measurement gaps </w:t>
      </w:r>
      <w:r w:rsidR="00BC3DAE" w:rsidRPr="00A01338">
        <w:rPr>
          <w:rFonts w:ascii="Arial" w:hAnsi="Arial" w:cs="Arial"/>
          <w:b/>
          <w:bCs/>
          <w:sz w:val="24"/>
        </w:rPr>
        <w:t>for</w:t>
      </w:r>
      <w:r w:rsidR="00D80129" w:rsidRPr="00A01338">
        <w:rPr>
          <w:rFonts w:ascii="Arial" w:hAnsi="Arial" w:cs="Arial"/>
          <w:b/>
          <w:bCs/>
          <w:sz w:val="24"/>
        </w:rPr>
        <w:t xml:space="preserve"> Rel-17</w:t>
      </w:r>
      <w:r w:rsidR="00BC3DAE" w:rsidRPr="00A01338">
        <w:rPr>
          <w:rFonts w:ascii="Arial" w:hAnsi="Arial" w:cs="Arial"/>
          <w:b/>
          <w:bCs/>
          <w:sz w:val="24"/>
        </w:rPr>
        <w:t xml:space="preserve"> NTN</w:t>
      </w:r>
    </w:p>
    <w:bookmarkEnd w:id="0"/>
    <w:p w14:paraId="1F147C23" w14:textId="3F51D700" w:rsidR="00A209D6" w:rsidRPr="00DD7AE4" w:rsidRDefault="00A209D6" w:rsidP="003A09D5">
      <w:pPr>
        <w:ind w:left="1985" w:hanging="1985"/>
        <w:jc w:val="both"/>
        <w:rPr>
          <w:rFonts w:ascii="Arial" w:hAnsi="Arial" w:cs="Arial"/>
          <w:b/>
          <w:bCs/>
          <w:sz w:val="24"/>
          <w:lang w:val="en-US"/>
        </w:rPr>
      </w:pPr>
      <w:r w:rsidRPr="00DD7AE4">
        <w:rPr>
          <w:rFonts w:ascii="Arial" w:hAnsi="Arial" w:cs="Arial"/>
          <w:b/>
          <w:bCs/>
          <w:sz w:val="24"/>
          <w:lang w:val="en-US"/>
        </w:rPr>
        <w:t>WID/SID:</w:t>
      </w:r>
      <w:r w:rsidRPr="00DD7AE4">
        <w:rPr>
          <w:rFonts w:ascii="Arial" w:hAnsi="Arial" w:cs="Arial"/>
          <w:b/>
          <w:bCs/>
          <w:sz w:val="24"/>
          <w:lang w:val="en-US"/>
        </w:rPr>
        <w:tab/>
      </w:r>
      <w:proofErr w:type="spellStart"/>
      <w:r w:rsidR="00B26C06" w:rsidRPr="00DD7AE4">
        <w:rPr>
          <w:rFonts w:ascii="Arial" w:hAnsi="Arial" w:cs="Arial"/>
          <w:b/>
          <w:bCs/>
          <w:sz w:val="24"/>
          <w:lang w:val="en-US"/>
        </w:rPr>
        <w:t>NR_NTN_solutions</w:t>
      </w:r>
      <w:proofErr w:type="spellEnd"/>
      <w:r w:rsidR="00D9227D">
        <w:rPr>
          <w:rFonts w:ascii="Arial" w:hAnsi="Arial" w:cs="Arial"/>
          <w:b/>
          <w:bCs/>
          <w:sz w:val="24"/>
          <w:lang w:val="en-US"/>
        </w:rPr>
        <w:t xml:space="preserve"> - Rel-17</w:t>
      </w:r>
    </w:p>
    <w:p w14:paraId="6FEB19D6" w14:textId="77777777" w:rsidR="00A209D6" w:rsidRPr="00B266B0" w:rsidRDefault="00A209D6" w:rsidP="003A09D5">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3A09D5">
      <w:pPr>
        <w:pStyle w:val="Heading1"/>
        <w:jc w:val="both"/>
      </w:pPr>
      <w:r w:rsidRPr="006E13D1">
        <w:t>1</w:t>
      </w:r>
      <w:r w:rsidRPr="006E13D1">
        <w:tab/>
      </w:r>
      <w:r>
        <w:t>Introduction</w:t>
      </w:r>
    </w:p>
    <w:p w14:paraId="69CA1310" w14:textId="7332E5AA" w:rsidR="009342CB" w:rsidRDefault="00C04697" w:rsidP="003A09D5">
      <w:pPr>
        <w:spacing w:after="100" w:afterAutospacing="1"/>
        <w:jc w:val="both"/>
      </w:pPr>
      <w:r>
        <w:t xml:space="preserve">In this contribution mobility measurement scenarios and SMTC </w:t>
      </w:r>
      <w:r w:rsidR="00BF3975">
        <w:t>issues</w:t>
      </w:r>
      <w:r>
        <w:t xml:space="preserve"> are discussed.</w:t>
      </w:r>
      <w:r w:rsidR="009A4BBA">
        <w:t xml:space="preserve"> </w:t>
      </w:r>
      <w:r w:rsidR="000E17FB">
        <w:t xml:space="preserve">Thus, the RAN2 group is tasked to determine if enhancements </w:t>
      </w:r>
      <w:r w:rsidR="00F36ED9">
        <w:t>to measurement configurations are required to handle the absolut</w:t>
      </w:r>
      <w:r w:rsidR="00820755">
        <w:t xml:space="preserve">e </w:t>
      </w:r>
      <w:r w:rsidR="00F310CB">
        <w:t>p</w:t>
      </w:r>
      <w:r w:rsidR="00F36ED9">
        <w:t>ropagation delay difference between satellites</w:t>
      </w:r>
      <w:r w:rsidR="003B4211">
        <w:t xml:space="preserve"> </w:t>
      </w:r>
      <w:r w:rsidR="003B4211">
        <w:fldChar w:fldCharType="begin"/>
      </w:r>
      <w:r w:rsidR="003B4211">
        <w:instrText xml:space="preserve"> REF _Ref59022218 \r \h </w:instrText>
      </w:r>
      <w:r w:rsidR="003A09D5">
        <w:instrText xml:space="preserve"> \* MERGEFORMAT </w:instrText>
      </w:r>
      <w:r w:rsidR="003B4211">
        <w:fldChar w:fldCharType="separate"/>
      </w:r>
      <w:r w:rsidR="003B4211">
        <w:t>[1]</w:t>
      </w:r>
      <w:r w:rsidR="003B4211">
        <w:fldChar w:fldCharType="end"/>
      </w:r>
      <w:r w:rsidR="00F36ED9">
        <w:t>.</w:t>
      </w:r>
      <w:r w:rsidR="00E804DF">
        <w:t xml:space="preserve"> </w:t>
      </w:r>
      <w:r w:rsidR="00EC5A8F" w:rsidRPr="00CD50C9">
        <w:t xml:space="preserve">In </w:t>
      </w:r>
      <w:r w:rsidR="00BF3975">
        <w:t xml:space="preserve">one of </w:t>
      </w:r>
      <w:r w:rsidR="00EC5A8F" w:rsidRPr="00CD50C9">
        <w:t>the previous</w:t>
      </w:r>
      <w:r w:rsidR="00BF3975">
        <w:t xml:space="preserve"> meetings</w:t>
      </w:r>
      <w:r w:rsidR="00EC5A8F" w:rsidRPr="00CD50C9">
        <w:t xml:space="preserve"> </w:t>
      </w:r>
      <w:r w:rsidR="00BF3975">
        <w:t>(</w:t>
      </w:r>
      <w:r w:rsidR="00EC5A8F" w:rsidRPr="00CD50C9">
        <w:t>RAN2 #113bis-e</w:t>
      </w:r>
      <w:r w:rsidR="00BF3975">
        <w:t>)</w:t>
      </w:r>
      <w:r w:rsidR="00EC5A8F" w:rsidRPr="00CD50C9">
        <w:t xml:space="preserve"> the following main </w:t>
      </w:r>
      <w:r w:rsidR="00BF3975">
        <w:t>aspects</w:t>
      </w:r>
      <w:r w:rsidR="00EC5A8F" w:rsidRPr="00CD50C9">
        <w:t xml:space="preserve"> related to SMTC configuration have been agreed [7]</w:t>
      </w:r>
      <w:r w:rsidR="009342CB">
        <w:t>:</w:t>
      </w:r>
    </w:p>
    <w:tbl>
      <w:tblPr>
        <w:tblStyle w:val="TableGrid"/>
        <w:tblW w:w="0" w:type="auto"/>
        <w:tblLook w:val="04A0" w:firstRow="1" w:lastRow="0" w:firstColumn="1" w:lastColumn="0" w:noHBand="0" w:noVBand="1"/>
      </w:tblPr>
      <w:tblGrid>
        <w:gridCol w:w="9631"/>
      </w:tblGrid>
      <w:tr w:rsidR="009342CB" w14:paraId="2C269FD0" w14:textId="77777777" w:rsidTr="009342CB">
        <w:tc>
          <w:tcPr>
            <w:tcW w:w="9631" w:type="dxa"/>
          </w:tcPr>
          <w:p w14:paraId="60CDB7EA" w14:textId="77777777" w:rsidR="009342CB" w:rsidRPr="00CD50C9" w:rsidRDefault="009342CB" w:rsidP="003A09D5">
            <w:pPr>
              <w:spacing w:after="100" w:afterAutospacing="1"/>
              <w:jc w:val="both"/>
              <w:rPr>
                <w:rStyle w:val="Strong"/>
                <w:b w:val="0"/>
                <w:bCs w:val="0"/>
                <w:lang w:eastAsia="zh-CN"/>
              </w:rPr>
            </w:pPr>
            <w:bookmarkStart w:id="1" w:name="_Hlk85102863"/>
            <w:r w:rsidRPr="00CD50C9">
              <w:rPr>
                <w:rStyle w:val="Strong"/>
                <w:b w:val="0"/>
                <w:bCs w:val="0"/>
                <w:lang w:eastAsia="zh-CN"/>
              </w:rPr>
              <w:t>1.</w:t>
            </w:r>
            <w:r w:rsidRPr="00CD50C9">
              <w:rPr>
                <w:rStyle w:val="Strong"/>
                <w:b w:val="0"/>
                <w:bCs w:val="0"/>
                <w:lang w:eastAsia="zh-CN"/>
              </w:rPr>
              <w:tab/>
              <w:t xml:space="preserve">For Rel-17 NTN, Rel-17 NR operation is enhanced (e.g. the SMTC configuration and UE measurement gap </w:t>
            </w:r>
            <w:r>
              <w:rPr>
                <w:rStyle w:val="Strong"/>
                <w:b w:val="0"/>
                <w:bCs w:val="0"/>
                <w:lang w:eastAsia="zh-CN"/>
              </w:rPr>
              <w:t>c</w:t>
            </w:r>
            <w:r w:rsidRPr="00CD50C9">
              <w:rPr>
                <w:rStyle w:val="Strong"/>
                <w:b w:val="0"/>
                <w:bCs w:val="0"/>
                <w:lang w:eastAsia="zh-CN"/>
              </w:rPr>
              <w:t>onfiguration) aiming to address the issues associated with the different/larger propagation delays, and the satellites (considering e.g. their deployment, mobility, height, minimum elevation and prioritizing typical NTN scenarios).</w:t>
            </w:r>
          </w:p>
          <w:p w14:paraId="4F15858A"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2.</w:t>
            </w:r>
            <w:r w:rsidRPr="00CD50C9">
              <w:rPr>
                <w:rStyle w:val="Strong"/>
                <w:b w:val="0"/>
                <w:bCs w:val="0"/>
                <w:lang w:eastAsia="zh-CN"/>
              </w:rPr>
              <w:tab/>
              <w:t>Rel-17 NTN will not rely only on network implementation to address the issue explained in agreement 1.</w:t>
            </w:r>
          </w:p>
          <w:p w14:paraId="07B0F0CE"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3.</w:t>
            </w:r>
            <w:r w:rsidRPr="00CD50C9">
              <w:rPr>
                <w:rStyle w:val="Strong"/>
                <w:b w:val="0"/>
                <w:bCs w:val="0"/>
                <w:lang w:eastAsia="zh-CN"/>
              </w:rPr>
              <w:tab/>
              <w:t>Enhancements of the SMTC configuration is supported for Rel-17 NTN.</w:t>
            </w:r>
          </w:p>
          <w:p w14:paraId="2A12B101"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4.</w:t>
            </w:r>
            <w:r w:rsidRPr="00CD50C9">
              <w:rPr>
                <w:rStyle w:val="Strong"/>
                <w:b w:val="0"/>
                <w:bCs w:val="0"/>
                <w:lang w:eastAsia="zh-CN"/>
              </w:rPr>
              <w:tab/>
              <w:t>Optional new UE assistance is defined in Rel-17 NTN for network to properly (re)configure the SMTC and/or measurement gap</w:t>
            </w:r>
          </w:p>
          <w:p w14:paraId="2A1D469C" w14:textId="77777777" w:rsidR="009342CB" w:rsidRPr="00616BD3" w:rsidRDefault="009342CB" w:rsidP="003A09D5">
            <w:pPr>
              <w:spacing w:after="100" w:afterAutospacing="1"/>
              <w:jc w:val="both"/>
              <w:rPr>
                <w:rStyle w:val="Strong"/>
                <w:lang w:eastAsia="zh-CN"/>
              </w:rPr>
            </w:pPr>
            <w:r w:rsidRPr="00616BD3">
              <w:rPr>
                <w:rStyle w:val="Strong"/>
                <w:lang w:eastAsia="zh-CN"/>
              </w:rPr>
              <w:t>Agreements - via email (from offline [106])</w:t>
            </w:r>
          </w:p>
          <w:p w14:paraId="402AA0F2"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1.</w:t>
            </w:r>
            <w:r w:rsidRPr="00CD50C9">
              <w:rPr>
                <w:rStyle w:val="Strong"/>
                <w:b w:val="0"/>
                <w:bCs w:val="0"/>
                <w:lang w:eastAsia="zh-CN"/>
              </w:rPr>
              <w:tab/>
              <w:t>For Rel-17 NTN, one or more SMTC configuration(s) associated to one frequency can be configured. FFS solution details.</w:t>
            </w:r>
          </w:p>
          <w:p w14:paraId="3E6D2853"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w:t>
            </w:r>
            <w:r w:rsidRPr="00CD50C9">
              <w:rPr>
                <w:rStyle w:val="Strong"/>
                <w:b w:val="0"/>
                <w:bCs w:val="0"/>
                <w:lang w:eastAsia="zh-CN"/>
              </w:rPr>
              <w:tab/>
              <w:t xml:space="preserve">The SMTC configuration can be associated with a set of cells (e.g., per satellite or any other suitable set per </w:t>
            </w:r>
            <w:proofErr w:type="spellStart"/>
            <w:r w:rsidRPr="00CD50C9">
              <w:rPr>
                <w:rStyle w:val="Strong"/>
                <w:b w:val="0"/>
                <w:bCs w:val="0"/>
                <w:lang w:eastAsia="zh-CN"/>
              </w:rPr>
              <w:t>gNB</w:t>
            </w:r>
            <w:proofErr w:type="spellEnd"/>
            <w:r w:rsidRPr="00CD50C9">
              <w:rPr>
                <w:rStyle w:val="Strong"/>
                <w:b w:val="0"/>
                <w:bCs w:val="0"/>
                <w:lang w:eastAsia="zh-CN"/>
              </w:rPr>
              <w:t xml:space="preserve"> determination).</w:t>
            </w:r>
          </w:p>
          <w:p w14:paraId="7CB0CBC5"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w:t>
            </w:r>
            <w:r w:rsidRPr="00CD50C9">
              <w:rPr>
                <w:rStyle w:val="Strong"/>
                <w:b w:val="0"/>
                <w:bCs w:val="0"/>
                <w:lang w:eastAsia="zh-CN"/>
              </w:rPr>
              <w:tab/>
              <w:t>The multiple SMTC configurations are enabled by introducing different new offsets in addition to the legacy SMTC configuration. FFS how the offsets will be managed/signalled.</w:t>
            </w:r>
          </w:p>
          <w:p w14:paraId="258639AE" w14:textId="77777777" w:rsidR="009342CB" w:rsidRPr="00CD50C9" w:rsidRDefault="009342CB" w:rsidP="003A09D5">
            <w:pPr>
              <w:spacing w:after="100" w:afterAutospacing="1"/>
              <w:jc w:val="both"/>
              <w:rPr>
                <w:rStyle w:val="Strong"/>
                <w:b w:val="0"/>
                <w:bCs w:val="0"/>
                <w:lang w:eastAsia="zh-CN"/>
              </w:rPr>
            </w:pPr>
            <w:r w:rsidRPr="00CD50C9">
              <w:rPr>
                <w:rStyle w:val="Strong"/>
                <w:b w:val="0"/>
                <w:highlight w:val="yellow"/>
                <w:lang w:eastAsia="zh-CN"/>
              </w:rPr>
              <w:t>FFS the following open questions</w:t>
            </w:r>
            <w:r w:rsidRPr="00CD50C9">
              <w:rPr>
                <w:rStyle w:val="Strong"/>
                <w:b w:val="0"/>
                <w:bCs w:val="0"/>
                <w:lang w:eastAsia="zh-CN"/>
              </w:rPr>
              <w:t xml:space="preserve">: </w:t>
            </w:r>
          </w:p>
          <w:p w14:paraId="295F9E75"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ab/>
              <w:t>(a) can the UE be configured with multiple SMTCs per carrier and use them all in parallel?</w:t>
            </w:r>
          </w:p>
          <w:p w14:paraId="544EA49A"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ab/>
              <w:t xml:space="preserve">(b) How the NW knows which SMTC (incl. offsets/periodicity, etc.) is relevant for a particular UE? </w:t>
            </w:r>
          </w:p>
          <w:p w14:paraId="680D8754"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ab/>
              <w:t>(c) Is there any validity: in time or for certain location only, foreseen in such multiple SMTC configuration?</w:t>
            </w:r>
          </w:p>
          <w:p w14:paraId="6A0D841E"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ab/>
              <w:t>(d) What is the potential impact on the signalling, assuming this delay is a dynamic value?</w:t>
            </w:r>
          </w:p>
          <w:p w14:paraId="2392749A"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tab/>
              <w:t>(e) What about the feeder link delay? Is it considered anywhere?</w:t>
            </w:r>
          </w:p>
          <w:p w14:paraId="448FFB88" w14:textId="77777777" w:rsidR="009342CB" w:rsidRPr="00CD50C9" w:rsidRDefault="009342CB" w:rsidP="003A09D5">
            <w:pPr>
              <w:spacing w:after="100" w:afterAutospacing="1"/>
              <w:jc w:val="both"/>
              <w:rPr>
                <w:rStyle w:val="Strong"/>
                <w:b w:val="0"/>
                <w:bCs w:val="0"/>
                <w:lang w:eastAsia="zh-CN"/>
              </w:rPr>
            </w:pPr>
            <w:r w:rsidRPr="00CD50C9">
              <w:rPr>
                <w:rStyle w:val="Strong"/>
                <w:b w:val="0"/>
                <w:bCs w:val="0"/>
                <w:lang w:eastAsia="zh-CN"/>
              </w:rPr>
              <w:lastRenderedPageBreak/>
              <w:t>2.</w:t>
            </w:r>
            <w:r w:rsidRPr="00CD50C9">
              <w:rPr>
                <w:rStyle w:val="Strong"/>
                <w:b w:val="0"/>
                <w:bCs w:val="0"/>
                <w:lang w:eastAsia="zh-CN"/>
              </w:rPr>
              <w:tab/>
              <w:t>The configuration of one or multiple offsets is left up to the network implementation.</w:t>
            </w:r>
          </w:p>
          <w:p w14:paraId="761203BF" w14:textId="62B16419" w:rsidR="009342CB" w:rsidRDefault="009342CB" w:rsidP="003A09D5">
            <w:pPr>
              <w:jc w:val="both"/>
            </w:pPr>
            <w:r w:rsidRPr="00CD50C9">
              <w:rPr>
                <w:rStyle w:val="Strong"/>
                <w:b w:val="0"/>
                <w:bCs w:val="0"/>
                <w:lang w:eastAsia="zh-CN"/>
              </w:rPr>
              <w:t>3.</w:t>
            </w:r>
            <w:r w:rsidRPr="00CD50C9">
              <w:rPr>
                <w:rStyle w:val="Strong"/>
                <w:b w:val="0"/>
                <w:bCs w:val="0"/>
                <w:lang w:eastAsia="zh-CN"/>
              </w:rPr>
              <w:tab/>
              <w:t>It is up to network to update the SMTC configuration of the UE to accommodate the different propagation delays.</w:t>
            </w:r>
          </w:p>
        </w:tc>
      </w:tr>
    </w:tbl>
    <w:bookmarkEnd w:id="1"/>
    <w:p w14:paraId="3711940F" w14:textId="77777777" w:rsidR="009645D0" w:rsidRDefault="00B31D3E" w:rsidP="003A09D5">
      <w:pPr>
        <w:jc w:val="both"/>
      </w:pPr>
      <w:r>
        <w:lastRenderedPageBreak/>
        <w:br/>
      </w:r>
      <w:r w:rsidR="00C04548">
        <w:t xml:space="preserve">The topic was not discussed whatsoever at </w:t>
      </w:r>
      <w:r w:rsidR="00C04548" w:rsidRPr="00C04548">
        <w:t>RAN2#11</w:t>
      </w:r>
      <w:r w:rsidR="00C04548">
        <w:t xml:space="preserve">4 (May 2021). </w:t>
      </w:r>
    </w:p>
    <w:p w14:paraId="4EBD442D" w14:textId="02A1AEA3" w:rsidR="009645D0" w:rsidRDefault="009645D0" w:rsidP="003A09D5">
      <w:pPr>
        <w:jc w:val="both"/>
      </w:pPr>
      <w:r>
        <w:t>In RAN2#1</w:t>
      </w:r>
      <w:r w:rsidR="00CF6FC5">
        <w:t>1</w:t>
      </w:r>
      <w:r>
        <w:t>5 the following was agreed</w:t>
      </w:r>
      <w:r w:rsidR="008823D1">
        <w:t xml:space="preserve"> </w:t>
      </w:r>
      <w:r w:rsidR="008823D1">
        <w:fldChar w:fldCharType="begin"/>
      </w:r>
      <w:r w:rsidR="008823D1">
        <w:instrText xml:space="preserve"> REF _Ref85445961 \r \h </w:instrText>
      </w:r>
      <w:r w:rsidR="003A09D5">
        <w:instrText xml:space="preserve"> \* MERGEFORMAT </w:instrText>
      </w:r>
      <w:r w:rsidR="008823D1">
        <w:fldChar w:fldCharType="separate"/>
      </w:r>
      <w:r w:rsidR="008823D1">
        <w:t>[8]</w:t>
      </w:r>
      <w:r w:rsidR="008823D1">
        <w:fldChar w:fldCharType="end"/>
      </w:r>
      <w:r w:rsidR="00024812">
        <w:t>:</w:t>
      </w:r>
    </w:p>
    <w:tbl>
      <w:tblPr>
        <w:tblStyle w:val="TableGrid"/>
        <w:tblW w:w="0" w:type="auto"/>
        <w:tblLook w:val="04A0" w:firstRow="1" w:lastRow="0" w:firstColumn="1" w:lastColumn="0" w:noHBand="0" w:noVBand="1"/>
      </w:tblPr>
      <w:tblGrid>
        <w:gridCol w:w="9631"/>
      </w:tblGrid>
      <w:tr w:rsidR="009645D0" w14:paraId="23F890F7" w14:textId="77777777" w:rsidTr="00D11BB1">
        <w:tc>
          <w:tcPr>
            <w:tcW w:w="9631" w:type="dxa"/>
          </w:tcPr>
          <w:p w14:paraId="74C5C85E" w14:textId="720D26D3" w:rsidR="009645D0" w:rsidRDefault="009645D0" w:rsidP="003A09D5">
            <w:pPr>
              <w:jc w:val="both"/>
            </w:pPr>
            <w:r>
              <w:t>Offline 112</w:t>
            </w:r>
          </w:p>
          <w:p w14:paraId="276B6FA4" w14:textId="42F965DE" w:rsidR="009645D0" w:rsidRPr="00C31064" w:rsidRDefault="009645D0" w:rsidP="003A09D5">
            <w:pPr>
              <w:jc w:val="both"/>
            </w:pPr>
            <w:r w:rsidRPr="00C31064">
              <w:t>1.</w:t>
            </w:r>
            <w:r w:rsidRPr="00C31064">
              <w:tab/>
              <w:t xml:space="preserve">The specific maximum number of SMTC configuration in one measurement object with the same </w:t>
            </w:r>
            <w:proofErr w:type="spellStart"/>
            <w:r w:rsidRPr="00C31064">
              <w:t>ssbFrequency</w:t>
            </w:r>
            <w:proofErr w:type="spellEnd"/>
            <w:r w:rsidRPr="00C31064">
              <w:t xml:space="preserve"> can be 4. And a LS will be sent to RAN4 to confirm the conclusion.</w:t>
            </w:r>
          </w:p>
          <w:p w14:paraId="5FA6BA32" w14:textId="77777777" w:rsidR="009645D0" w:rsidRPr="00C31064" w:rsidRDefault="009645D0" w:rsidP="003A09D5">
            <w:pPr>
              <w:jc w:val="both"/>
            </w:pPr>
            <w:r w:rsidRPr="00C31064">
              <w:t>2.</w:t>
            </w:r>
            <w:r w:rsidRPr="00C31064">
              <w:tab/>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1A420548" w14:textId="77777777" w:rsidR="009645D0" w:rsidRDefault="009645D0" w:rsidP="003A09D5">
            <w:pPr>
              <w:jc w:val="both"/>
            </w:pPr>
            <w:r w:rsidRPr="00C31064">
              <w:t>3.</w:t>
            </w:r>
            <w:r w:rsidRPr="00C31064">
              <w:tab/>
              <w:t>In NTN, it is necessary of the UE to report assistant information to the NW (which can be configured by NW or upon NW’s request) to assist NW calculating the offset for SMTC/GAP configurations. FFS the detailed information.</w:t>
            </w:r>
          </w:p>
          <w:p w14:paraId="71D14AF5" w14:textId="77777777" w:rsidR="009645D0" w:rsidRPr="00C31064" w:rsidRDefault="009645D0" w:rsidP="003A09D5">
            <w:pPr>
              <w:jc w:val="both"/>
            </w:pPr>
            <w:r w:rsidRPr="00C31064">
              <w:t>Agreements:</w:t>
            </w:r>
          </w:p>
          <w:p w14:paraId="32633BC4" w14:textId="053594DD" w:rsidR="009645D0" w:rsidRDefault="009645D0" w:rsidP="003A09D5">
            <w:pPr>
              <w:jc w:val="both"/>
            </w:pPr>
            <w:r w:rsidRPr="00C31064">
              <w:t>1.</w:t>
            </w:r>
            <w:r w:rsidRPr="00C31064">
              <w:tab/>
              <w:t>The UE can be configured with multiple SMTCs per carrier. FFS if the UE can use only a partial set or all of them in parallel, and in case FFS whether based on network configuration or UE implementation</w:t>
            </w:r>
          </w:p>
        </w:tc>
      </w:tr>
    </w:tbl>
    <w:p w14:paraId="4EA687FC" w14:textId="77777777" w:rsidR="009645D0" w:rsidRDefault="009645D0" w:rsidP="003A09D5">
      <w:pPr>
        <w:jc w:val="both"/>
      </w:pPr>
    </w:p>
    <w:p w14:paraId="2E425309" w14:textId="0ADB3FDC" w:rsidR="004B4FD4" w:rsidRDefault="00E5642A" w:rsidP="003A09D5">
      <w:pPr>
        <w:jc w:val="both"/>
      </w:pPr>
      <w:r w:rsidRPr="00B31D3E">
        <w:t xml:space="preserve">In this contribution we </w:t>
      </w:r>
      <w:r w:rsidR="00E75C25" w:rsidRPr="00B31D3E">
        <w:t xml:space="preserve">primarily </w:t>
      </w:r>
      <w:r w:rsidRPr="00B31D3E">
        <w:t>discuss aspects related to the FFS items</w:t>
      </w:r>
      <w:r w:rsidR="00E75C25" w:rsidRPr="00B31D3E">
        <w:t xml:space="preserve"> </w:t>
      </w:r>
      <w:r w:rsidR="00810977" w:rsidRPr="00B31D3E">
        <w:t>listed in the table above</w:t>
      </w:r>
      <w:r w:rsidR="00E75C25" w:rsidRPr="00B31D3E">
        <w:t>.</w:t>
      </w:r>
    </w:p>
    <w:p w14:paraId="4F547731" w14:textId="65A61CFA" w:rsidR="00A209D6" w:rsidRPr="008E7917" w:rsidRDefault="00A209D6" w:rsidP="003A09D5">
      <w:pPr>
        <w:pStyle w:val="Heading1"/>
        <w:jc w:val="both"/>
        <w:rPr>
          <w:lang w:val="en-US"/>
        </w:rPr>
      </w:pPr>
      <w:r w:rsidRPr="008E7917">
        <w:rPr>
          <w:lang w:val="en-US"/>
        </w:rPr>
        <w:t>2</w:t>
      </w:r>
      <w:r w:rsidRPr="008E7917">
        <w:rPr>
          <w:lang w:val="en-US"/>
        </w:rPr>
        <w:tab/>
      </w:r>
      <w:r w:rsidR="008E7917">
        <w:rPr>
          <w:lang w:val="en-US"/>
        </w:rPr>
        <w:t>Background on SMTC</w:t>
      </w:r>
      <w:r w:rsidR="00C33B48">
        <w:rPr>
          <w:lang w:val="en-US"/>
        </w:rPr>
        <w:t xml:space="preserve"> and measurement gaps</w:t>
      </w:r>
    </w:p>
    <w:p w14:paraId="1D658FF8" w14:textId="0FB54AB5" w:rsidR="00B26C06" w:rsidRDefault="008E7917" w:rsidP="003A09D5">
      <w:pPr>
        <w:jc w:val="both"/>
        <w:rPr>
          <w:lang w:val="en-US"/>
        </w:rPr>
      </w:pPr>
      <w:r w:rsidRPr="008E7917">
        <w:rPr>
          <w:lang w:val="en-US"/>
        </w:rPr>
        <w:t>A U</w:t>
      </w:r>
      <w:r>
        <w:rPr>
          <w:lang w:val="en-US"/>
        </w:rPr>
        <w:t>E is configured to perform SSB</w:t>
      </w:r>
      <w:r w:rsidR="006E77BA">
        <w:rPr>
          <w:lang w:val="en-US"/>
        </w:rPr>
        <w:t>-</w:t>
      </w:r>
      <w:r>
        <w:rPr>
          <w:lang w:val="en-US"/>
        </w:rPr>
        <w:t>based measurements using the SSB measurement timing configuration (SMTC). According</w:t>
      </w:r>
      <w:r w:rsidR="006E77BA">
        <w:rPr>
          <w:lang w:val="en-US"/>
        </w:rPr>
        <w:t xml:space="preserve"> to</w:t>
      </w:r>
      <w:r>
        <w:rPr>
          <w:lang w:val="en-US"/>
        </w:rPr>
        <w:t xml:space="preserve"> TS 38.133</w:t>
      </w:r>
      <w:r w:rsidR="000B192F">
        <w:rPr>
          <w:lang w:val="en-US"/>
        </w:rPr>
        <w:t>,</w:t>
      </w:r>
      <w:r>
        <w:rPr>
          <w:lang w:val="en-US"/>
        </w:rPr>
        <w:t xml:space="preserve"> section 9.2</w:t>
      </w:r>
      <w:r w:rsidR="00066150">
        <w:rPr>
          <w:lang w:val="en-US"/>
        </w:rPr>
        <w:t xml:space="preserve"> </w:t>
      </w:r>
      <w:r w:rsidR="00066150">
        <w:rPr>
          <w:lang w:val="en-US"/>
        </w:rPr>
        <w:fldChar w:fldCharType="begin"/>
      </w:r>
      <w:r w:rsidR="00066150">
        <w:rPr>
          <w:lang w:val="en-US"/>
        </w:rPr>
        <w:instrText xml:space="preserve"> REF _Ref59089868 \r \h </w:instrText>
      </w:r>
      <w:r w:rsidR="00066150">
        <w:rPr>
          <w:lang w:val="en-US"/>
        </w:rPr>
      </w:r>
      <w:r w:rsidR="003A09D5">
        <w:rPr>
          <w:lang w:val="en-US"/>
        </w:rPr>
        <w:instrText xml:space="preserve"> \* MERGEFORMAT </w:instrText>
      </w:r>
      <w:r w:rsidR="00066150">
        <w:rPr>
          <w:lang w:val="en-US"/>
        </w:rPr>
        <w:fldChar w:fldCharType="separate"/>
      </w:r>
      <w:r w:rsidR="00101569">
        <w:rPr>
          <w:lang w:val="en-US"/>
        </w:rPr>
        <w:t>[3]</w:t>
      </w:r>
      <w:r w:rsidR="00066150">
        <w:rPr>
          <w:lang w:val="en-US"/>
        </w:rPr>
        <w:fldChar w:fldCharType="end"/>
      </w:r>
      <w:r>
        <w:rPr>
          <w:lang w:val="en-US"/>
        </w:rPr>
        <w:t xml:space="preserve"> the measurements are considered intra-frequency “</w:t>
      </w:r>
      <w:r w:rsidRPr="008E7917">
        <w:rPr>
          <w:i/>
          <w:iCs/>
          <w:lang w:val="en-US"/>
        </w:rPr>
        <w:t xml:space="preserve">provided the </w:t>
      </w:r>
      <w:proofErr w:type="spellStart"/>
      <w:r w:rsidRPr="008E7917">
        <w:rPr>
          <w:i/>
          <w:iCs/>
          <w:lang w:val="en-US"/>
        </w:rPr>
        <w:t>centre</w:t>
      </w:r>
      <w:proofErr w:type="spellEnd"/>
      <w:r w:rsidRPr="008E7917">
        <w:rPr>
          <w:i/>
          <w:iCs/>
          <w:lang w:val="en-US"/>
        </w:rPr>
        <w:t xml:space="preserve"> frequency of the SSB of the serving cell indicated for measurement and the </w:t>
      </w:r>
      <w:proofErr w:type="spellStart"/>
      <w:r w:rsidRPr="008E7917">
        <w:rPr>
          <w:i/>
          <w:iCs/>
          <w:lang w:val="en-US"/>
        </w:rPr>
        <w:t>centre</w:t>
      </w:r>
      <w:proofErr w:type="spellEnd"/>
      <w:r w:rsidRPr="008E7917">
        <w:rPr>
          <w:i/>
          <w:iCs/>
          <w:lang w:val="en-US"/>
        </w:rPr>
        <w:t xml:space="preserve"> frequency of the SSB of the </w:t>
      </w:r>
      <w:proofErr w:type="spellStart"/>
      <w:r w:rsidRPr="008E7917">
        <w:rPr>
          <w:i/>
          <w:iCs/>
          <w:lang w:val="en-US"/>
        </w:rPr>
        <w:t>neighbour</w:t>
      </w:r>
      <w:proofErr w:type="spellEnd"/>
      <w:r w:rsidRPr="008E7917">
        <w:rPr>
          <w:i/>
          <w:iCs/>
          <w:lang w:val="en-US"/>
        </w:rPr>
        <w:t xml:space="preserve"> cell are the same, and the subcarrier spacing of the two SSBs are also the same.</w:t>
      </w:r>
      <w:r>
        <w:rPr>
          <w:lang w:val="en-US"/>
        </w:rPr>
        <w:t>”</w:t>
      </w:r>
    </w:p>
    <w:p w14:paraId="3D6718B4" w14:textId="025ED1BB" w:rsidR="008E7917" w:rsidRDefault="008E7917" w:rsidP="003A09D5">
      <w:pPr>
        <w:jc w:val="both"/>
        <w:rPr>
          <w:lang w:val="en-US"/>
        </w:rPr>
      </w:pPr>
      <w:r>
        <w:rPr>
          <w:lang w:val="en-US"/>
        </w:rPr>
        <w:t>Furthermore, the same section</w:t>
      </w:r>
      <w:r w:rsidR="006E77BA">
        <w:rPr>
          <w:lang w:val="en-US"/>
        </w:rPr>
        <w:t xml:space="preserve"> describe</w:t>
      </w:r>
      <w:r>
        <w:rPr>
          <w:lang w:val="en-US"/>
        </w:rPr>
        <w:t>s the UE can perform intra-frequency measurements without the need for measurement gaps if “</w:t>
      </w:r>
      <w:r w:rsidRPr="008E7917">
        <w:rPr>
          <w:i/>
          <w:iCs/>
          <w:lang w:val="en-US"/>
        </w:rPr>
        <w:t>the SSB is completely contained in the active BWP of the UE, or the active downlink BWP is initial BWP</w:t>
      </w:r>
      <w:r>
        <w:rPr>
          <w:lang w:val="en-US"/>
        </w:rPr>
        <w:t>”.</w:t>
      </w:r>
    </w:p>
    <w:p w14:paraId="7E247190" w14:textId="38FFAAAB" w:rsidR="00C84697" w:rsidRDefault="008E7917" w:rsidP="003A09D5">
      <w:pPr>
        <w:jc w:val="both"/>
        <w:rPr>
          <w:lang w:val="en-US"/>
        </w:rPr>
      </w:pPr>
      <w:r>
        <w:rPr>
          <w:lang w:val="en-US"/>
        </w:rPr>
        <w:t>According to TS 38.331</w:t>
      </w:r>
      <w:r w:rsidR="00066150">
        <w:rPr>
          <w:lang w:val="en-US"/>
        </w:rPr>
        <w:t xml:space="preserve"> </w:t>
      </w:r>
      <w:r w:rsidR="00066150">
        <w:rPr>
          <w:lang w:val="en-US"/>
        </w:rPr>
        <w:fldChar w:fldCharType="begin"/>
      </w:r>
      <w:r w:rsidR="00066150">
        <w:rPr>
          <w:lang w:val="en-US"/>
        </w:rPr>
        <w:instrText xml:space="preserve"> REF _Ref59089877 \r \h </w:instrText>
      </w:r>
      <w:r w:rsidR="00066150">
        <w:rPr>
          <w:lang w:val="en-US"/>
        </w:rPr>
      </w:r>
      <w:r w:rsidR="003A09D5">
        <w:rPr>
          <w:lang w:val="en-US"/>
        </w:rPr>
        <w:instrText xml:space="preserve"> \* MERGEFORMAT </w:instrText>
      </w:r>
      <w:r w:rsidR="00066150">
        <w:rPr>
          <w:lang w:val="en-US"/>
        </w:rPr>
        <w:fldChar w:fldCharType="separate"/>
      </w:r>
      <w:r w:rsidR="00101569">
        <w:rPr>
          <w:lang w:val="en-US"/>
        </w:rPr>
        <w:t>[4]</w:t>
      </w:r>
      <w:r w:rsidR="00066150">
        <w:rPr>
          <w:lang w:val="en-US"/>
        </w:rPr>
        <w:fldChar w:fldCharType="end"/>
      </w:r>
      <w:r>
        <w:rPr>
          <w:lang w:val="en-US"/>
        </w:rPr>
        <w:t xml:space="preserve">, the SMTC period is 5, 10, 20, 40, 80, 160 subframes, while the duration per SMTC window is 1, 2, 3, 4, 5 subframes. </w:t>
      </w:r>
    </w:p>
    <w:p w14:paraId="5A9D0095" w14:textId="43433358" w:rsidR="002B05DC" w:rsidRDefault="00C33B48" w:rsidP="003A09D5">
      <w:pPr>
        <w:jc w:val="both"/>
        <w:rPr>
          <w:lang w:val="en-US"/>
        </w:rPr>
      </w:pPr>
      <w:r>
        <w:rPr>
          <w:lang w:val="en-US"/>
        </w:rPr>
        <w:t>Depending on the UE capability the UE may require measurement gaps to identify and measure target</w:t>
      </w:r>
      <w:r w:rsidR="00BA1AB8">
        <w:rPr>
          <w:lang w:val="en-US"/>
        </w:rPr>
        <w:t>/</w:t>
      </w:r>
      <w:proofErr w:type="spellStart"/>
      <w:r w:rsidR="00BA1AB8">
        <w:rPr>
          <w:lang w:val="en-US"/>
        </w:rPr>
        <w:t>neighbour</w:t>
      </w:r>
      <w:proofErr w:type="spellEnd"/>
      <w:r>
        <w:rPr>
          <w:lang w:val="en-US"/>
        </w:rPr>
        <w:t xml:space="preserve"> cells </w:t>
      </w:r>
      <w:r>
        <w:rPr>
          <w:lang w:val="en-US"/>
        </w:rPr>
        <w:fldChar w:fldCharType="begin"/>
      </w:r>
      <w:r>
        <w:rPr>
          <w:lang w:val="en-US"/>
        </w:rPr>
        <w:instrText xml:space="preserve"> REF _Ref59089868 \r \h </w:instrText>
      </w:r>
      <w:r>
        <w:rPr>
          <w:lang w:val="en-US"/>
        </w:rPr>
      </w:r>
      <w:r w:rsidR="003A09D5">
        <w:rPr>
          <w:lang w:val="en-US"/>
        </w:rPr>
        <w:instrText xml:space="preserve"> \* MERGEFORMAT </w:instrText>
      </w:r>
      <w:r>
        <w:rPr>
          <w:lang w:val="en-US"/>
        </w:rPr>
        <w:fldChar w:fldCharType="separate"/>
      </w:r>
      <w:r>
        <w:rPr>
          <w:lang w:val="en-US"/>
        </w:rPr>
        <w:t>[3]</w:t>
      </w:r>
      <w:r>
        <w:rPr>
          <w:lang w:val="en-US"/>
        </w:rPr>
        <w:fldChar w:fldCharType="end"/>
      </w:r>
      <w:r>
        <w:rPr>
          <w:lang w:val="en-US"/>
        </w:rPr>
        <w:t>. In NR NTN it is assumed that the UE can use its location and satellite ephemeris for pre-compensation, e.g. to handle the potential large Doppler shift. If a UE is served by a cell provided by one satellite but has to measure a target</w:t>
      </w:r>
      <w:r w:rsidR="00BA1AB8">
        <w:rPr>
          <w:lang w:val="en-US"/>
        </w:rPr>
        <w:t>/</w:t>
      </w:r>
      <w:proofErr w:type="spellStart"/>
      <w:r w:rsidR="00BA1AB8">
        <w:rPr>
          <w:lang w:val="en-US"/>
        </w:rPr>
        <w:t>neighbour</w:t>
      </w:r>
      <w:proofErr w:type="spellEnd"/>
      <w:r>
        <w:rPr>
          <w:lang w:val="en-US"/>
        </w:rPr>
        <w:t xml:space="preserve"> cell on a different satellite, the UE will have to adjust the Doppler compensation. </w:t>
      </w:r>
      <w:r w:rsidR="002B05DC">
        <w:rPr>
          <w:lang w:val="en-US"/>
        </w:rPr>
        <w:t xml:space="preserve">Therefore, one </w:t>
      </w:r>
      <w:r w:rsidR="0046174F">
        <w:rPr>
          <w:lang w:val="en-US"/>
        </w:rPr>
        <w:t>requirement</w:t>
      </w:r>
      <w:r w:rsidR="002B05DC">
        <w:rPr>
          <w:lang w:val="en-US"/>
        </w:rPr>
        <w:t xml:space="preserve"> may be that SMTC configurations for inter-satellite measurements always </w:t>
      </w:r>
      <w:r w:rsidR="002B5748">
        <w:rPr>
          <w:lang w:val="en-US"/>
        </w:rPr>
        <w:t>need to have</w:t>
      </w:r>
      <w:r w:rsidR="002B05DC">
        <w:rPr>
          <w:lang w:val="en-US"/>
        </w:rPr>
        <w:t xml:space="preserve"> measurement gaps</w:t>
      </w:r>
      <w:r w:rsidR="002B5748">
        <w:rPr>
          <w:lang w:val="en-US"/>
        </w:rPr>
        <w:t xml:space="preserve"> configured</w:t>
      </w:r>
      <w:r w:rsidR="002B05DC">
        <w:rPr>
          <w:lang w:val="en-US"/>
        </w:rPr>
        <w:t>.</w:t>
      </w:r>
    </w:p>
    <w:p w14:paraId="5DE27F45" w14:textId="2A416413" w:rsidR="002B05DC" w:rsidRPr="00A01338" w:rsidRDefault="002B05DC" w:rsidP="003A09D5">
      <w:pPr>
        <w:jc w:val="both"/>
        <w:rPr>
          <w:b/>
          <w:bCs/>
          <w:lang w:val="en-US"/>
        </w:rPr>
      </w:pPr>
      <w:r>
        <w:rPr>
          <w:b/>
          <w:bCs/>
          <w:lang w:val="en-US"/>
        </w:rPr>
        <w:t>Observation</w:t>
      </w:r>
      <w:r w:rsidR="000962DB">
        <w:rPr>
          <w:b/>
          <w:bCs/>
          <w:lang w:val="en-US"/>
        </w:rPr>
        <w:t xml:space="preserve"> 1</w:t>
      </w:r>
      <w:r>
        <w:rPr>
          <w:b/>
          <w:bCs/>
          <w:lang w:val="en-US"/>
        </w:rPr>
        <w:t>: In NTN the UE may require measurement gaps to perform inter-satellite measurements.</w:t>
      </w:r>
    </w:p>
    <w:p w14:paraId="5CEEED56" w14:textId="42A13ACE" w:rsidR="00C33B48" w:rsidRDefault="00C33B48" w:rsidP="003A09D5">
      <w:pPr>
        <w:jc w:val="both"/>
        <w:rPr>
          <w:lang w:val="en-US"/>
        </w:rPr>
      </w:pPr>
      <w:r>
        <w:rPr>
          <w:lang w:val="en-US"/>
        </w:rPr>
        <w:t xml:space="preserve">Currently, the maximum measurement gap length is 6 </w:t>
      </w:r>
      <w:proofErr w:type="spellStart"/>
      <w:r>
        <w:rPr>
          <w:lang w:val="en-US"/>
        </w:rPr>
        <w:t>ms</w:t>
      </w:r>
      <w:proofErr w:type="spellEnd"/>
      <w:r>
        <w:rPr>
          <w:lang w:val="en-US"/>
        </w:rPr>
        <w:t xml:space="preserve"> and one question is whether a UE with the longest </w:t>
      </w:r>
      <w:r w:rsidR="002B05DC">
        <w:rPr>
          <w:lang w:val="en-US"/>
        </w:rPr>
        <w:t xml:space="preserve">SMTC </w:t>
      </w:r>
      <w:r>
        <w:rPr>
          <w:lang w:val="en-US"/>
        </w:rPr>
        <w:t>window (</w:t>
      </w:r>
      <w:r w:rsidR="000962DB">
        <w:rPr>
          <w:lang w:val="en-US"/>
        </w:rPr>
        <w:t xml:space="preserve">i.e., SMTC duration of </w:t>
      </w:r>
      <w:r>
        <w:rPr>
          <w:lang w:val="en-US"/>
        </w:rPr>
        <w:t>5 subframes) can perform adjustment of Doppler compensation from serving cell to target</w:t>
      </w:r>
      <w:r w:rsidR="000962DB">
        <w:rPr>
          <w:lang w:val="en-US"/>
        </w:rPr>
        <w:t>/</w:t>
      </w:r>
      <w:proofErr w:type="spellStart"/>
      <w:r w:rsidR="000962DB">
        <w:rPr>
          <w:lang w:val="en-US"/>
        </w:rPr>
        <w:t>neighbour</w:t>
      </w:r>
      <w:proofErr w:type="spellEnd"/>
      <w:r>
        <w:rPr>
          <w:lang w:val="en-US"/>
        </w:rPr>
        <w:t xml:space="preserve"> cell and back to </w:t>
      </w:r>
      <w:r w:rsidR="000962DB">
        <w:rPr>
          <w:lang w:val="en-US"/>
        </w:rPr>
        <w:t xml:space="preserve">the </w:t>
      </w:r>
      <w:r>
        <w:rPr>
          <w:lang w:val="en-US"/>
        </w:rPr>
        <w:t>serving cell.</w:t>
      </w:r>
    </w:p>
    <w:p w14:paraId="1767AF57" w14:textId="29A8FB21" w:rsidR="002B05DC" w:rsidRPr="00A01338" w:rsidRDefault="002B05DC" w:rsidP="003A09D5">
      <w:pPr>
        <w:jc w:val="both"/>
        <w:rPr>
          <w:b/>
          <w:bCs/>
          <w:lang w:val="en-US"/>
        </w:rPr>
      </w:pPr>
      <w:r>
        <w:rPr>
          <w:b/>
          <w:bCs/>
          <w:lang w:val="en-US"/>
        </w:rPr>
        <w:t xml:space="preserve">Observation </w:t>
      </w:r>
      <w:r w:rsidR="000962DB">
        <w:rPr>
          <w:b/>
          <w:bCs/>
          <w:lang w:val="en-US"/>
        </w:rPr>
        <w:t>2</w:t>
      </w:r>
      <w:r>
        <w:rPr>
          <w:b/>
          <w:bCs/>
          <w:lang w:val="en-US"/>
        </w:rPr>
        <w:t>: In NTN it may be challenging for a UE to utilize the longest SMTC window within a measurement gap.</w:t>
      </w:r>
    </w:p>
    <w:p w14:paraId="75BA130C" w14:textId="15C12086" w:rsidR="00C33B48" w:rsidRDefault="00C33B48" w:rsidP="003A09D5">
      <w:pPr>
        <w:jc w:val="both"/>
        <w:rPr>
          <w:lang w:val="en-US"/>
        </w:rPr>
      </w:pPr>
      <w:r>
        <w:rPr>
          <w:lang w:val="en-US"/>
        </w:rPr>
        <w:t>Furthermore, it is worth noting that the UE is not required to receive and transmit from/to the serving cell during the measurement gap, except for RRM</w:t>
      </w:r>
      <w:r w:rsidR="001D445A">
        <w:rPr>
          <w:lang w:val="en-US"/>
        </w:rPr>
        <w:t>-related measurements</w:t>
      </w:r>
      <w:r>
        <w:rPr>
          <w:lang w:val="en-US"/>
        </w:rPr>
        <w:t>- and random access-related signals. If the network configures</w:t>
      </w:r>
      <w:r w:rsidR="00E60860">
        <w:rPr>
          <w:lang w:val="en-US"/>
        </w:rPr>
        <w:t xml:space="preserve"> and activates</w:t>
      </w:r>
      <w:r>
        <w:rPr>
          <w:lang w:val="en-US"/>
        </w:rPr>
        <w:t xml:space="preserve"> all 4 SMTC windows, according to the recent RAN2</w:t>
      </w:r>
      <w:r w:rsidR="00CF6FC5">
        <w:rPr>
          <w:lang w:val="en-US"/>
        </w:rPr>
        <w:t xml:space="preserve"> #115</w:t>
      </w:r>
      <w:r>
        <w:rPr>
          <w:lang w:val="en-US"/>
        </w:rPr>
        <w:t xml:space="preserve"> agreement,</w:t>
      </w:r>
      <w:r w:rsidR="002B05DC">
        <w:rPr>
          <w:lang w:val="en-US"/>
        </w:rPr>
        <w:t xml:space="preserve"> with measurement gaps</w:t>
      </w:r>
      <w:r>
        <w:rPr>
          <w:lang w:val="en-US"/>
        </w:rPr>
        <w:t xml:space="preserve"> this would result in severe </w:t>
      </w:r>
      <w:r w:rsidR="002B05DC">
        <w:rPr>
          <w:lang w:val="en-US"/>
        </w:rPr>
        <w:t>scheduling restrictions.</w:t>
      </w:r>
    </w:p>
    <w:p w14:paraId="644D9735" w14:textId="6A58755C" w:rsidR="002B05DC" w:rsidRPr="00A01338" w:rsidRDefault="002B05DC" w:rsidP="003A09D5">
      <w:pPr>
        <w:jc w:val="both"/>
        <w:rPr>
          <w:b/>
          <w:bCs/>
          <w:lang w:val="en-US"/>
        </w:rPr>
      </w:pPr>
      <w:r>
        <w:rPr>
          <w:b/>
          <w:bCs/>
          <w:lang w:val="en-US"/>
        </w:rPr>
        <w:lastRenderedPageBreak/>
        <w:t>Observation</w:t>
      </w:r>
      <w:r w:rsidR="00E60860">
        <w:rPr>
          <w:b/>
          <w:bCs/>
          <w:lang w:val="en-US"/>
        </w:rPr>
        <w:t xml:space="preserve"> 3</w:t>
      </w:r>
      <w:r>
        <w:rPr>
          <w:b/>
          <w:bCs/>
          <w:lang w:val="en-US"/>
        </w:rPr>
        <w:t xml:space="preserve">: </w:t>
      </w:r>
      <w:r w:rsidR="00726EEC">
        <w:rPr>
          <w:b/>
          <w:bCs/>
          <w:lang w:val="en-US"/>
        </w:rPr>
        <w:t>If</w:t>
      </w:r>
      <w:r w:rsidR="00125346">
        <w:rPr>
          <w:b/>
          <w:bCs/>
          <w:lang w:val="en-US"/>
        </w:rPr>
        <w:t xml:space="preserve"> four</w:t>
      </w:r>
      <w:r>
        <w:rPr>
          <w:b/>
          <w:bCs/>
          <w:lang w:val="en-US"/>
        </w:rPr>
        <w:t xml:space="preserve"> SMTC windows with corresponding measurement gaps</w:t>
      </w:r>
      <w:r w:rsidR="00726EEC">
        <w:rPr>
          <w:b/>
          <w:bCs/>
          <w:lang w:val="en-US"/>
        </w:rPr>
        <w:t xml:space="preserve"> are utilized</w:t>
      </w:r>
      <w:r w:rsidR="00E4386D">
        <w:rPr>
          <w:b/>
          <w:bCs/>
          <w:lang w:val="en-US"/>
        </w:rPr>
        <w:t>,</w:t>
      </w:r>
      <w:r>
        <w:rPr>
          <w:b/>
          <w:bCs/>
          <w:lang w:val="en-US"/>
        </w:rPr>
        <w:t xml:space="preserve"> the scheduling will be severely restricted.</w:t>
      </w:r>
    </w:p>
    <w:p w14:paraId="717DFDD2" w14:textId="4BE6A789" w:rsidR="00B26C06" w:rsidRDefault="00141BD7" w:rsidP="003A09D5">
      <w:pPr>
        <w:pStyle w:val="Heading1"/>
        <w:jc w:val="both"/>
        <w:rPr>
          <w:lang w:val="en-US"/>
        </w:rPr>
      </w:pPr>
      <w:r w:rsidRPr="2A95B4D3">
        <w:rPr>
          <w:lang w:val="en-US"/>
        </w:rPr>
        <w:t xml:space="preserve">3 </w:t>
      </w:r>
      <w:r>
        <w:tab/>
      </w:r>
      <w:proofErr w:type="spellStart"/>
      <w:r w:rsidR="00FF4943" w:rsidRPr="2A95B4D3">
        <w:rPr>
          <w:lang w:val="en-US"/>
        </w:rPr>
        <w:t>Neighbour</w:t>
      </w:r>
      <w:proofErr w:type="spellEnd"/>
      <w:r w:rsidR="00FF4943" w:rsidRPr="2A95B4D3">
        <w:rPr>
          <w:lang w:val="en-US"/>
        </w:rPr>
        <w:t xml:space="preserve"> measurements </w:t>
      </w:r>
      <w:r w:rsidR="6CF29343" w:rsidRPr="2A95B4D3">
        <w:rPr>
          <w:lang w:val="en-US"/>
        </w:rPr>
        <w:t xml:space="preserve">and synchronization </w:t>
      </w:r>
      <w:r w:rsidR="00FF4943" w:rsidRPr="2A95B4D3">
        <w:rPr>
          <w:lang w:val="en-US"/>
        </w:rPr>
        <w:t xml:space="preserve">in </w:t>
      </w:r>
      <w:r w:rsidR="002D3957" w:rsidRPr="2A95B4D3">
        <w:rPr>
          <w:lang w:val="en-US"/>
        </w:rPr>
        <w:t xml:space="preserve">LEO </w:t>
      </w:r>
      <w:r w:rsidRPr="2A95B4D3">
        <w:rPr>
          <w:lang w:val="en-US"/>
        </w:rPr>
        <w:t>Scenario</w:t>
      </w:r>
    </w:p>
    <w:p w14:paraId="0446A117" w14:textId="178534D0" w:rsidR="00141BD7" w:rsidRDefault="00FF6890" w:rsidP="003A09D5">
      <w:pPr>
        <w:jc w:val="both"/>
        <w:rPr>
          <w:lang w:val="en-US"/>
        </w:rPr>
      </w:pPr>
      <w:r>
        <w:rPr>
          <w:lang w:val="en-US"/>
        </w:rPr>
        <w:t>In terrestrial networks</w:t>
      </w:r>
      <w:r w:rsidR="000B192F">
        <w:rPr>
          <w:lang w:val="en-US"/>
        </w:rPr>
        <w:t xml:space="preserve"> (TNs)</w:t>
      </w:r>
      <w:r>
        <w:rPr>
          <w:lang w:val="en-US"/>
        </w:rPr>
        <w:t xml:space="preserve"> the relative location in time of an SSB between a serving cell and a neighbor cell is fixed. The propagation delay within each cell depends on the cell size and UE location, and from UE’s perspective it will only vary due to UE movement. </w:t>
      </w:r>
    </w:p>
    <w:p w14:paraId="775C927E" w14:textId="0BAEFBD6" w:rsidR="00FB4AFB" w:rsidRDefault="00FF6890" w:rsidP="003A09D5">
      <w:pPr>
        <w:jc w:val="both"/>
        <w:rPr>
          <w:lang w:val="en-US"/>
        </w:rPr>
      </w:pPr>
      <w:r>
        <w:rPr>
          <w:lang w:val="en-US"/>
        </w:rPr>
        <w:t xml:space="preserve">On the contrary, in low-earth orbit (LEO) scenarios, even the propagation delay between UE and serving cell will vary over time, due to the movement of the satellite. Furthermore, the propagation delays towards neighbor cells on </w:t>
      </w:r>
      <w:r w:rsidR="00EA31F3">
        <w:rPr>
          <w:lang w:val="en-US"/>
        </w:rPr>
        <w:t>neighboring</w:t>
      </w:r>
      <w:r>
        <w:rPr>
          <w:lang w:val="en-US"/>
        </w:rPr>
        <w:t xml:space="preserve"> satellites will also change over time.</w:t>
      </w:r>
      <w:r w:rsidR="00FB4AFB">
        <w:rPr>
          <w:lang w:val="en-US"/>
        </w:rPr>
        <w:t xml:space="preserve"> T</w:t>
      </w:r>
      <w:r w:rsidR="00FB4AFB" w:rsidRPr="1B76719E">
        <w:rPr>
          <w:lang w:val="en-US"/>
        </w:rPr>
        <w:t>he scenario will be</w:t>
      </w:r>
      <w:r w:rsidR="003973A9">
        <w:rPr>
          <w:lang w:val="en-US"/>
        </w:rPr>
        <w:t>come</w:t>
      </w:r>
      <w:r w:rsidR="00FB4AFB" w:rsidRPr="1B76719E">
        <w:rPr>
          <w:lang w:val="en-US"/>
        </w:rPr>
        <w:t xml:space="preserve"> worse when also accounting for feeder link delay and</w:t>
      </w:r>
      <w:r w:rsidR="003973A9">
        <w:rPr>
          <w:lang w:val="en-US"/>
        </w:rPr>
        <w:t xml:space="preserve"> will</w:t>
      </w:r>
      <w:r w:rsidR="00FB4AFB" w:rsidRPr="1B76719E">
        <w:rPr>
          <w:lang w:val="en-US"/>
        </w:rPr>
        <w:t xml:space="preserve"> </w:t>
      </w:r>
      <w:r w:rsidR="0056720D">
        <w:rPr>
          <w:lang w:val="en-US"/>
        </w:rPr>
        <w:t xml:space="preserve">increase with increasing </w:t>
      </w:r>
      <w:r w:rsidR="00FB4AFB" w:rsidRPr="1B76719E">
        <w:rPr>
          <w:lang w:val="en-US"/>
        </w:rPr>
        <w:t>satellite altitude.</w:t>
      </w:r>
    </w:p>
    <w:p w14:paraId="66E9398F" w14:textId="7BDF1258" w:rsidR="00FF6890" w:rsidRDefault="0008248C" w:rsidP="003A09D5">
      <w:pPr>
        <w:jc w:val="both"/>
        <w:rPr>
          <w:lang w:val="en-US"/>
        </w:rPr>
      </w:pPr>
      <w:r>
        <w:rPr>
          <w:lang w:val="en-US"/>
        </w:rPr>
        <w:t xml:space="preserve">The basic scenario is illustrated in </w:t>
      </w:r>
      <w:r>
        <w:rPr>
          <w:lang w:val="en-US"/>
        </w:rPr>
        <w:fldChar w:fldCharType="begin"/>
      </w:r>
      <w:r>
        <w:rPr>
          <w:lang w:val="en-US"/>
        </w:rPr>
        <w:instrText xml:space="preserve"> REF _Ref59024781 \h </w:instrText>
      </w:r>
      <w:r>
        <w:rPr>
          <w:lang w:val="en-US"/>
        </w:rPr>
      </w:r>
      <w:r w:rsidR="003A09D5">
        <w:rPr>
          <w:lang w:val="en-US"/>
        </w:rPr>
        <w:instrText xml:space="preserve"> \* MERGEFORMAT </w:instrText>
      </w:r>
      <w:r>
        <w:rPr>
          <w:lang w:val="en-US"/>
        </w:rPr>
        <w:fldChar w:fldCharType="separate"/>
      </w:r>
      <w:r w:rsidR="00101569">
        <w:t xml:space="preserve">Figure </w:t>
      </w:r>
      <w:r w:rsidR="00101569">
        <w:rPr>
          <w:noProof/>
        </w:rPr>
        <w:t>1</w:t>
      </w:r>
      <w:r>
        <w:rPr>
          <w:lang w:val="en-US"/>
        </w:rPr>
        <w:fldChar w:fldCharType="end"/>
      </w:r>
      <w:r>
        <w:rPr>
          <w:lang w:val="en-US"/>
        </w:rPr>
        <w:t>, where SAT1 is currently providing the serving cell of the</w:t>
      </w:r>
      <w:r w:rsidR="00FF6890">
        <w:rPr>
          <w:lang w:val="en-US"/>
        </w:rPr>
        <w:t xml:space="preserve"> </w:t>
      </w:r>
      <w:r>
        <w:rPr>
          <w:lang w:val="en-US"/>
        </w:rPr>
        <w:t xml:space="preserve">UE, while SAT2 is a potential target cell. In the </w:t>
      </w:r>
      <w:r w:rsidR="00DD1CD5">
        <w:rPr>
          <w:lang w:val="en-US"/>
        </w:rPr>
        <w:t>considered</w:t>
      </w:r>
      <w:r>
        <w:rPr>
          <w:lang w:val="en-US"/>
        </w:rPr>
        <w:t xml:space="preserve"> scenario, the SAT1 is moving away from the UE, while SAT2, potentially on the same or a parallel orbit, is moving towards the UE. The propagation delay between SAT1 and the UE is designated d</w:t>
      </w:r>
      <w:r w:rsidRPr="0008248C">
        <w:rPr>
          <w:vertAlign w:val="subscript"/>
          <w:lang w:val="en-US"/>
        </w:rPr>
        <w:t>SAT1</w:t>
      </w:r>
      <w:r w:rsidR="00D602B4">
        <w:rPr>
          <w:vertAlign w:val="subscript"/>
          <w:lang w:val="en-US"/>
        </w:rPr>
        <w:t>-UE</w:t>
      </w:r>
      <w:r>
        <w:rPr>
          <w:lang w:val="en-US"/>
        </w:rPr>
        <w:t>(t)</w:t>
      </w:r>
      <w:r w:rsidR="00F85DCE">
        <w:rPr>
          <w:lang w:val="en-US"/>
        </w:rPr>
        <w:t>,</w:t>
      </w:r>
      <w:r>
        <w:rPr>
          <w:lang w:val="en-US"/>
        </w:rPr>
        <w:t xml:space="preserve"> i.e. a function of time t, while the delay between SAT2 and the UE is denoted d</w:t>
      </w:r>
      <w:r w:rsidRPr="0008248C">
        <w:rPr>
          <w:vertAlign w:val="subscript"/>
          <w:lang w:val="en-US"/>
        </w:rPr>
        <w:t>SAT2</w:t>
      </w:r>
      <w:r w:rsidR="00D602B4">
        <w:rPr>
          <w:vertAlign w:val="subscript"/>
          <w:lang w:val="en-US"/>
        </w:rPr>
        <w:t>-UE</w:t>
      </w:r>
      <w:r>
        <w:rPr>
          <w:lang w:val="en-US"/>
        </w:rPr>
        <w:t>(t). Note that i</w:t>
      </w:r>
      <w:r w:rsidR="00FF6890">
        <w:rPr>
          <w:lang w:val="en-US"/>
        </w:rPr>
        <w:t>n the transparent satellite scenario, the propagation delay</w:t>
      </w:r>
      <w:r>
        <w:rPr>
          <w:lang w:val="en-US"/>
        </w:rPr>
        <w:t>s</w:t>
      </w:r>
      <w:r w:rsidR="00FF6890">
        <w:rPr>
          <w:lang w:val="en-US"/>
        </w:rPr>
        <w:t xml:space="preserve"> also depend on the relative location of the NTN gateway</w:t>
      </w:r>
      <w:r>
        <w:rPr>
          <w:lang w:val="en-US"/>
        </w:rPr>
        <w:t>s</w:t>
      </w:r>
      <w:r w:rsidR="00FF6890">
        <w:rPr>
          <w:lang w:val="en-US"/>
        </w:rPr>
        <w:t xml:space="preserve"> on Earth.</w:t>
      </w:r>
      <w:r w:rsidR="00174D8F">
        <w:rPr>
          <w:lang w:val="en-US"/>
        </w:rPr>
        <w:t xml:space="preserve"> In this example, SAT1 is connected to</w:t>
      </w:r>
      <w:r w:rsidR="00F25426">
        <w:rPr>
          <w:lang w:val="en-US"/>
        </w:rPr>
        <w:t xml:space="preserve"> and moving towards</w:t>
      </w:r>
      <w:r w:rsidR="00174D8F">
        <w:rPr>
          <w:lang w:val="en-US"/>
        </w:rPr>
        <w:t xml:space="preserve"> NTN-GW1, </w:t>
      </w:r>
      <w:r w:rsidR="005B5D5C">
        <w:rPr>
          <w:lang w:val="en-US"/>
        </w:rPr>
        <w:t>while SAT2 is connected</w:t>
      </w:r>
      <w:r>
        <w:rPr>
          <w:lang w:val="en-US"/>
        </w:rPr>
        <w:t xml:space="preserve"> </w:t>
      </w:r>
      <w:r w:rsidR="005B5D5C">
        <w:rPr>
          <w:lang w:val="en-US"/>
        </w:rPr>
        <w:t xml:space="preserve">to </w:t>
      </w:r>
      <w:r w:rsidR="00F25426">
        <w:rPr>
          <w:lang w:val="en-US"/>
        </w:rPr>
        <w:t xml:space="preserve">and moving towards </w:t>
      </w:r>
      <w:r w:rsidR="005B5D5C">
        <w:rPr>
          <w:lang w:val="en-US"/>
        </w:rPr>
        <w:t>NTN-GW2</w:t>
      </w:r>
      <w:r w:rsidR="00F25426">
        <w:rPr>
          <w:lang w:val="en-US"/>
        </w:rPr>
        <w:t>. The respective propagation delays</w:t>
      </w:r>
      <w:r w:rsidR="00D602B4">
        <w:rPr>
          <w:lang w:val="en-US"/>
        </w:rPr>
        <w:t xml:space="preserve"> between satellites and gateways</w:t>
      </w:r>
      <w:r w:rsidR="00F25426">
        <w:rPr>
          <w:lang w:val="en-US"/>
        </w:rPr>
        <w:t xml:space="preserve"> are </w:t>
      </w:r>
      <w:r w:rsidR="00D602B4">
        <w:rPr>
          <w:lang w:val="en-US"/>
        </w:rPr>
        <w:t>d</w:t>
      </w:r>
      <w:r w:rsidR="00D602B4" w:rsidRPr="0008248C">
        <w:rPr>
          <w:vertAlign w:val="subscript"/>
          <w:lang w:val="en-US"/>
        </w:rPr>
        <w:t>SAT1</w:t>
      </w:r>
      <w:r w:rsidR="00D602B4">
        <w:rPr>
          <w:vertAlign w:val="subscript"/>
          <w:lang w:val="en-US"/>
        </w:rPr>
        <w:t>-GW1</w:t>
      </w:r>
      <w:r w:rsidR="00D602B4">
        <w:rPr>
          <w:lang w:val="en-US"/>
        </w:rPr>
        <w:t>(t) and d</w:t>
      </w:r>
      <w:r w:rsidR="00D602B4" w:rsidRPr="0008248C">
        <w:rPr>
          <w:vertAlign w:val="subscript"/>
          <w:lang w:val="en-US"/>
        </w:rPr>
        <w:t>SAT1</w:t>
      </w:r>
      <w:r w:rsidR="00D602B4">
        <w:rPr>
          <w:vertAlign w:val="subscript"/>
          <w:lang w:val="en-US"/>
        </w:rPr>
        <w:t>-GW2</w:t>
      </w:r>
      <w:r w:rsidR="00D602B4">
        <w:rPr>
          <w:lang w:val="en-US"/>
        </w:rPr>
        <w:t>(t).</w:t>
      </w:r>
    </w:p>
    <w:p w14:paraId="27775AAC" w14:textId="77777777" w:rsidR="0008248C" w:rsidRDefault="0008248C" w:rsidP="003A09D5">
      <w:pPr>
        <w:keepNext/>
        <w:jc w:val="center"/>
      </w:pPr>
      <w:r>
        <w:rPr>
          <w:noProof/>
        </w:rPr>
        <w:drawing>
          <wp:inline distT="0" distB="0" distL="0" distR="0" wp14:anchorId="33AC1BFB" wp14:editId="099F86C0">
            <wp:extent cx="4964904" cy="170376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964904" cy="1703765"/>
                    </a:xfrm>
                    <a:prstGeom prst="rect">
                      <a:avLst/>
                    </a:prstGeom>
                  </pic:spPr>
                </pic:pic>
              </a:graphicData>
            </a:graphic>
          </wp:inline>
        </w:drawing>
      </w:r>
    </w:p>
    <w:p w14:paraId="3FE8DEE6" w14:textId="49CBAD99" w:rsidR="00101569" w:rsidRDefault="0008248C" w:rsidP="003A09D5">
      <w:pPr>
        <w:pStyle w:val="Caption"/>
        <w:jc w:val="center"/>
      </w:pPr>
      <w:bookmarkStart w:id="2" w:name="_Ref59024781"/>
      <w:r>
        <w:t xml:space="preserve">Figure </w:t>
      </w:r>
      <w:r>
        <w:fldChar w:fldCharType="begin"/>
      </w:r>
      <w:r>
        <w:instrText>SEQ Figure \* ARABIC</w:instrText>
      </w:r>
      <w:r>
        <w:fldChar w:fldCharType="separate"/>
      </w:r>
      <w:r w:rsidR="00101569">
        <w:rPr>
          <w:noProof/>
        </w:rPr>
        <w:t>1</w:t>
      </w:r>
      <w:r>
        <w:fldChar w:fldCharType="end"/>
      </w:r>
      <w:bookmarkEnd w:id="2"/>
      <w:r>
        <w:t xml:space="preserve"> Illustration of varying propagation delay towards a UE as a function of satellites' movements.</w:t>
      </w:r>
      <w:r w:rsidR="004B4FD4">
        <w:t xml:space="preserve"> </w:t>
      </w:r>
      <w:r>
        <w:t xml:space="preserve">Due to the satellites’ movement, the propagation delays vary with time. </w:t>
      </w:r>
      <w:r w:rsidR="005E413D">
        <w:fldChar w:fldCharType="begin"/>
      </w:r>
      <w:r w:rsidR="005E413D">
        <w:instrText xml:space="preserve"> REF _Ref61430169 \h </w:instrText>
      </w:r>
      <w:r w:rsidR="003A09D5">
        <w:instrText xml:space="preserve"> \* MERGEFORMAT </w:instrText>
      </w:r>
      <w:r w:rsidR="005E413D">
        <w:fldChar w:fldCharType="separate"/>
      </w:r>
    </w:p>
    <w:p w14:paraId="5FBD4097" w14:textId="3EC1EB9B" w:rsidR="00950C6B" w:rsidRDefault="00101569" w:rsidP="003A09D5">
      <w:pPr>
        <w:jc w:val="both"/>
        <w:rPr>
          <w:lang w:val="en-US"/>
        </w:rPr>
      </w:pPr>
      <w:r>
        <w:t xml:space="preserve">Table </w:t>
      </w:r>
      <w:r>
        <w:rPr>
          <w:noProof/>
        </w:rPr>
        <w:t>1</w:t>
      </w:r>
      <w:r w:rsidR="005E413D">
        <w:fldChar w:fldCharType="end"/>
      </w:r>
      <w:r w:rsidR="005E413D">
        <w:t xml:space="preserve"> provides example numbers, based on estimated </w:t>
      </w:r>
      <w:r w:rsidR="006E2236">
        <w:t xml:space="preserve">elevation angles between UE and SAT1/SAT2 and elevation angles between NTN-GW1 and SAT1, and NTN-GW2 and SAT2. </w:t>
      </w:r>
      <w:r w:rsidR="001F6628">
        <w:t>In this example the LEO satellites are assumed to be a</w:t>
      </w:r>
      <w:r w:rsidR="001F6628">
        <w:rPr>
          <w:lang w:val="en-US"/>
        </w:rPr>
        <w:t>t 600 km altitude</w:t>
      </w:r>
      <w:r w:rsidR="008B4522">
        <w:rPr>
          <w:lang w:val="en-US"/>
        </w:rPr>
        <w:t>.</w:t>
      </w:r>
    </w:p>
    <w:p w14:paraId="0B67DFFA" w14:textId="4986FB9A" w:rsidR="00C34B96" w:rsidRDefault="00C34B96" w:rsidP="003A09D5">
      <w:pPr>
        <w:pStyle w:val="Caption"/>
        <w:keepNext/>
        <w:jc w:val="both"/>
      </w:pPr>
      <w:bookmarkStart w:id="3" w:name="_Ref61430169"/>
      <w:r>
        <w:t xml:space="preserve">Table </w:t>
      </w:r>
      <w:r>
        <w:fldChar w:fldCharType="begin"/>
      </w:r>
      <w:r>
        <w:instrText>SEQ Table \* ARABIC</w:instrText>
      </w:r>
      <w:r>
        <w:fldChar w:fldCharType="separate"/>
      </w:r>
      <w:r w:rsidR="00101569">
        <w:rPr>
          <w:noProof/>
        </w:rPr>
        <w:t>1</w:t>
      </w:r>
      <w:r>
        <w:fldChar w:fldCharType="end"/>
      </w:r>
      <w:bookmarkEnd w:id="3"/>
      <w:r>
        <w:t xml:space="preserve"> Example of propagation delay variations for a UE monitoring two transparent satellites.</w:t>
      </w:r>
    </w:p>
    <w:tbl>
      <w:tblPr>
        <w:tblStyle w:val="TableGrid"/>
        <w:tblW w:w="0" w:type="auto"/>
        <w:tblLook w:val="04A0" w:firstRow="1" w:lastRow="0" w:firstColumn="1" w:lastColumn="0" w:noHBand="0" w:noVBand="1"/>
      </w:tblPr>
      <w:tblGrid>
        <w:gridCol w:w="794"/>
        <w:gridCol w:w="739"/>
        <w:gridCol w:w="805"/>
        <w:gridCol w:w="1766"/>
        <w:gridCol w:w="1376"/>
        <w:gridCol w:w="1745"/>
        <w:gridCol w:w="2154"/>
      </w:tblGrid>
      <w:tr w:rsidR="00EB79E6" w14:paraId="748B443A" w14:textId="77777777" w:rsidTr="009D56CA">
        <w:tc>
          <w:tcPr>
            <w:tcW w:w="794" w:type="dxa"/>
            <w:vMerge w:val="restart"/>
          </w:tcPr>
          <w:p w14:paraId="39BC8FB0" w14:textId="77777777" w:rsidR="00EB79E6" w:rsidRDefault="00EB79E6" w:rsidP="003A09D5">
            <w:pPr>
              <w:jc w:val="both"/>
            </w:pPr>
          </w:p>
        </w:tc>
        <w:tc>
          <w:tcPr>
            <w:tcW w:w="739" w:type="dxa"/>
          </w:tcPr>
          <w:p w14:paraId="11E119BF" w14:textId="1B3ED010" w:rsidR="00EB79E6" w:rsidRDefault="00EB79E6" w:rsidP="003A09D5">
            <w:pPr>
              <w:jc w:val="both"/>
            </w:pPr>
          </w:p>
        </w:tc>
        <w:tc>
          <w:tcPr>
            <w:tcW w:w="2571" w:type="dxa"/>
            <w:gridSpan w:val="2"/>
          </w:tcPr>
          <w:p w14:paraId="7F4B8FE3" w14:textId="6EEB3EEC" w:rsidR="00EB79E6" w:rsidRPr="00950C6B" w:rsidRDefault="00EB79E6" w:rsidP="003A09D5">
            <w:pPr>
              <w:jc w:val="both"/>
              <w:rPr>
                <w:lang w:val="da-DK"/>
              </w:rPr>
            </w:pPr>
            <w:r>
              <w:t>UE</w:t>
            </w:r>
          </w:p>
        </w:tc>
        <w:tc>
          <w:tcPr>
            <w:tcW w:w="3121" w:type="dxa"/>
            <w:gridSpan w:val="2"/>
          </w:tcPr>
          <w:p w14:paraId="62F83E96" w14:textId="0D398941" w:rsidR="00EB79E6" w:rsidRPr="00950C6B" w:rsidRDefault="00EB79E6" w:rsidP="003A09D5">
            <w:pPr>
              <w:jc w:val="both"/>
              <w:rPr>
                <w:lang w:val="da-DK"/>
              </w:rPr>
            </w:pPr>
            <w:r w:rsidRPr="003049FC">
              <w:rPr>
                <w:lang w:val="da-DK"/>
              </w:rPr>
              <w:t>NTN-GW (GW1 for SA</w:t>
            </w:r>
            <w:r>
              <w:rPr>
                <w:lang w:val="da-DK"/>
              </w:rPr>
              <w:t>T1, GW2 for SAT2)</w:t>
            </w:r>
          </w:p>
        </w:tc>
        <w:tc>
          <w:tcPr>
            <w:tcW w:w="2154" w:type="dxa"/>
            <w:vMerge w:val="restart"/>
          </w:tcPr>
          <w:p w14:paraId="6885EABD" w14:textId="5FA32B0C" w:rsidR="00EB79E6" w:rsidRDefault="00227D9D" w:rsidP="003A09D5">
            <w:pPr>
              <w:jc w:val="both"/>
            </w:pPr>
            <w:r>
              <w:t xml:space="preserve">Joint </w:t>
            </w:r>
            <w:r w:rsidR="00EB79E6">
              <w:t>GW-SAT-UE delay</w:t>
            </w:r>
          </w:p>
        </w:tc>
      </w:tr>
      <w:tr w:rsidR="00EB79E6" w14:paraId="6C8B544B" w14:textId="77777777" w:rsidTr="009D56CA">
        <w:tc>
          <w:tcPr>
            <w:tcW w:w="794" w:type="dxa"/>
            <w:vMerge/>
          </w:tcPr>
          <w:p w14:paraId="1DC550AB" w14:textId="77777777" w:rsidR="00EB79E6" w:rsidRDefault="00EB79E6" w:rsidP="003A09D5">
            <w:pPr>
              <w:jc w:val="both"/>
            </w:pPr>
          </w:p>
        </w:tc>
        <w:tc>
          <w:tcPr>
            <w:tcW w:w="739" w:type="dxa"/>
          </w:tcPr>
          <w:p w14:paraId="35B483AB" w14:textId="77894E89" w:rsidR="00EB79E6" w:rsidRDefault="00EB79E6" w:rsidP="003A09D5">
            <w:pPr>
              <w:jc w:val="both"/>
            </w:pPr>
            <w:r>
              <w:t>Time</w:t>
            </w:r>
          </w:p>
        </w:tc>
        <w:tc>
          <w:tcPr>
            <w:tcW w:w="805" w:type="dxa"/>
          </w:tcPr>
          <w:p w14:paraId="692BFEE6" w14:textId="3EDB0CB4" w:rsidR="00EB79E6" w:rsidRDefault="00EB79E6" w:rsidP="003A09D5">
            <w:pPr>
              <w:jc w:val="both"/>
            </w:pPr>
            <w:r>
              <w:t>Angle</w:t>
            </w:r>
          </w:p>
        </w:tc>
        <w:tc>
          <w:tcPr>
            <w:tcW w:w="1766" w:type="dxa"/>
          </w:tcPr>
          <w:p w14:paraId="57DEBE35" w14:textId="74831E71" w:rsidR="00EB79E6" w:rsidRDefault="00EB79E6" w:rsidP="003A09D5">
            <w:pPr>
              <w:jc w:val="both"/>
            </w:pPr>
            <w:r>
              <w:t>Propagation delay</w:t>
            </w:r>
          </w:p>
        </w:tc>
        <w:tc>
          <w:tcPr>
            <w:tcW w:w="1376" w:type="dxa"/>
          </w:tcPr>
          <w:p w14:paraId="1733CC60" w14:textId="377A9648" w:rsidR="00EB79E6" w:rsidRDefault="00EB79E6" w:rsidP="003A09D5">
            <w:pPr>
              <w:jc w:val="both"/>
            </w:pPr>
            <w:r>
              <w:t>Angle</w:t>
            </w:r>
          </w:p>
        </w:tc>
        <w:tc>
          <w:tcPr>
            <w:tcW w:w="1745" w:type="dxa"/>
          </w:tcPr>
          <w:p w14:paraId="39343F8A" w14:textId="74E414F4" w:rsidR="00EB79E6" w:rsidRDefault="00EB79E6" w:rsidP="003A09D5">
            <w:pPr>
              <w:jc w:val="both"/>
            </w:pPr>
            <w:r>
              <w:t>Propagation delay</w:t>
            </w:r>
          </w:p>
        </w:tc>
        <w:tc>
          <w:tcPr>
            <w:tcW w:w="2154" w:type="dxa"/>
            <w:vMerge/>
          </w:tcPr>
          <w:p w14:paraId="2476619C" w14:textId="77777777" w:rsidR="00EB79E6" w:rsidRDefault="00EB79E6" w:rsidP="003A09D5">
            <w:pPr>
              <w:jc w:val="both"/>
            </w:pPr>
          </w:p>
        </w:tc>
      </w:tr>
      <w:tr w:rsidR="00EB79E6" w14:paraId="2CCE7EFC" w14:textId="77777777" w:rsidTr="009D56CA">
        <w:tc>
          <w:tcPr>
            <w:tcW w:w="794" w:type="dxa"/>
            <w:vMerge w:val="restart"/>
          </w:tcPr>
          <w:p w14:paraId="382DAB0C" w14:textId="670CD7D5" w:rsidR="00EB79E6" w:rsidRDefault="00EB79E6" w:rsidP="003A09D5">
            <w:pPr>
              <w:jc w:val="both"/>
            </w:pPr>
            <w:r>
              <w:t>SAT1</w:t>
            </w:r>
          </w:p>
        </w:tc>
        <w:tc>
          <w:tcPr>
            <w:tcW w:w="739" w:type="dxa"/>
          </w:tcPr>
          <w:p w14:paraId="4B07B11E" w14:textId="7193B04E" w:rsidR="00EB79E6" w:rsidRDefault="00EB79E6" w:rsidP="003A09D5">
            <w:pPr>
              <w:jc w:val="both"/>
            </w:pPr>
            <w:r w:rsidRPr="00F936A2">
              <w:rPr>
                <w:lang w:val="en-US"/>
              </w:rPr>
              <w:t>T1</w:t>
            </w:r>
          </w:p>
        </w:tc>
        <w:tc>
          <w:tcPr>
            <w:tcW w:w="805" w:type="dxa"/>
          </w:tcPr>
          <w:p w14:paraId="0122A9DD" w14:textId="68DB5D59" w:rsidR="00EB79E6" w:rsidRDefault="00EB79E6" w:rsidP="003A09D5">
            <w:pPr>
              <w:jc w:val="both"/>
            </w:pPr>
            <w:r w:rsidRPr="00F936A2">
              <w:rPr>
                <w:lang w:val="en-US"/>
              </w:rPr>
              <w:t>30</w:t>
            </w:r>
            <w:r w:rsidRPr="003049FC">
              <w:rPr>
                <w:vertAlign w:val="superscript"/>
                <w:lang w:val="en-US"/>
              </w:rPr>
              <w:t xml:space="preserve"> o</w:t>
            </w:r>
          </w:p>
        </w:tc>
        <w:tc>
          <w:tcPr>
            <w:tcW w:w="1766" w:type="dxa"/>
          </w:tcPr>
          <w:p w14:paraId="29DB2E39" w14:textId="3D154BE5" w:rsidR="00EB79E6" w:rsidRDefault="00EB79E6" w:rsidP="003A09D5">
            <w:pPr>
              <w:jc w:val="both"/>
            </w:pPr>
            <w:r w:rsidRPr="00F936A2">
              <w:rPr>
                <w:lang w:val="en-US"/>
              </w:rPr>
              <w:t xml:space="preserve">4 </w:t>
            </w:r>
            <w:proofErr w:type="spellStart"/>
            <w:r w:rsidRPr="00F936A2">
              <w:rPr>
                <w:lang w:val="en-US"/>
              </w:rPr>
              <w:t>ms</w:t>
            </w:r>
            <w:proofErr w:type="spellEnd"/>
          </w:p>
        </w:tc>
        <w:tc>
          <w:tcPr>
            <w:tcW w:w="1376" w:type="dxa"/>
          </w:tcPr>
          <w:p w14:paraId="5888F741" w14:textId="0B490209" w:rsidR="00EB79E6" w:rsidRDefault="00EB79E6" w:rsidP="003A09D5">
            <w:pPr>
              <w:jc w:val="both"/>
            </w:pPr>
            <w:r w:rsidRPr="00F936A2">
              <w:rPr>
                <w:lang w:val="en-US"/>
              </w:rPr>
              <w:t>10</w:t>
            </w:r>
            <w:r w:rsidRPr="003049FC">
              <w:rPr>
                <w:vertAlign w:val="superscript"/>
                <w:lang w:val="en-US"/>
              </w:rPr>
              <w:t xml:space="preserve"> o</w:t>
            </w:r>
          </w:p>
        </w:tc>
        <w:tc>
          <w:tcPr>
            <w:tcW w:w="1745" w:type="dxa"/>
          </w:tcPr>
          <w:p w14:paraId="198266F3" w14:textId="2083D13E" w:rsidR="00EB79E6" w:rsidRDefault="00EB79E6" w:rsidP="003A09D5">
            <w:pPr>
              <w:jc w:val="both"/>
            </w:pPr>
            <w:r w:rsidRPr="00F936A2">
              <w:rPr>
                <w:lang w:val="en-US"/>
              </w:rPr>
              <w:t xml:space="preserve">6.4 </w:t>
            </w:r>
            <w:proofErr w:type="spellStart"/>
            <w:r w:rsidRPr="00F936A2">
              <w:rPr>
                <w:lang w:val="en-US"/>
              </w:rPr>
              <w:t>ms</w:t>
            </w:r>
            <w:proofErr w:type="spellEnd"/>
          </w:p>
        </w:tc>
        <w:tc>
          <w:tcPr>
            <w:tcW w:w="2154" w:type="dxa"/>
          </w:tcPr>
          <w:p w14:paraId="3AB42A7B" w14:textId="7BFEF530" w:rsidR="00EB79E6" w:rsidRDefault="00EB79E6" w:rsidP="003A09D5">
            <w:pPr>
              <w:jc w:val="both"/>
            </w:pPr>
            <w:r w:rsidRPr="00F936A2">
              <w:rPr>
                <w:lang w:val="en-US"/>
              </w:rPr>
              <w:t xml:space="preserve">10.4 </w:t>
            </w:r>
            <w:proofErr w:type="spellStart"/>
            <w:r w:rsidRPr="00F936A2">
              <w:rPr>
                <w:lang w:val="en-US"/>
              </w:rPr>
              <w:t>ms</w:t>
            </w:r>
            <w:proofErr w:type="spellEnd"/>
          </w:p>
        </w:tc>
      </w:tr>
      <w:tr w:rsidR="00EB79E6" w14:paraId="1B84B5D6" w14:textId="77777777" w:rsidTr="009D56CA">
        <w:tc>
          <w:tcPr>
            <w:tcW w:w="794" w:type="dxa"/>
            <w:vMerge/>
          </w:tcPr>
          <w:p w14:paraId="08EA5C45" w14:textId="77777777" w:rsidR="00EB79E6" w:rsidRDefault="00EB79E6" w:rsidP="003A09D5">
            <w:pPr>
              <w:jc w:val="both"/>
            </w:pPr>
          </w:p>
        </w:tc>
        <w:tc>
          <w:tcPr>
            <w:tcW w:w="739" w:type="dxa"/>
          </w:tcPr>
          <w:p w14:paraId="21E28AED" w14:textId="49DF82DE" w:rsidR="00EB79E6" w:rsidRDefault="00EB79E6" w:rsidP="003A09D5">
            <w:pPr>
              <w:jc w:val="both"/>
            </w:pPr>
            <w:r w:rsidRPr="00F936A2">
              <w:rPr>
                <w:lang w:val="en-US"/>
              </w:rPr>
              <w:t>T2</w:t>
            </w:r>
          </w:p>
        </w:tc>
        <w:tc>
          <w:tcPr>
            <w:tcW w:w="805" w:type="dxa"/>
          </w:tcPr>
          <w:p w14:paraId="0AF860FF" w14:textId="6F1DF965" w:rsidR="00EB79E6" w:rsidRDefault="00EB79E6" w:rsidP="003A09D5">
            <w:pPr>
              <w:jc w:val="both"/>
            </w:pPr>
            <w:r w:rsidRPr="00F936A2">
              <w:rPr>
                <w:lang w:val="en-US"/>
              </w:rPr>
              <w:t>10</w:t>
            </w:r>
            <w:r w:rsidRPr="003049FC">
              <w:rPr>
                <w:vertAlign w:val="superscript"/>
                <w:lang w:val="en-US"/>
              </w:rPr>
              <w:t xml:space="preserve"> o</w:t>
            </w:r>
          </w:p>
        </w:tc>
        <w:tc>
          <w:tcPr>
            <w:tcW w:w="1766" w:type="dxa"/>
          </w:tcPr>
          <w:p w14:paraId="75ADC145" w14:textId="4EE25127" w:rsidR="00EB79E6" w:rsidRDefault="00EB79E6" w:rsidP="003A09D5">
            <w:pPr>
              <w:jc w:val="both"/>
            </w:pPr>
            <w:r w:rsidRPr="00F936A2">
              <w:rPr>
                <w:lang w:val="en-US"/>
              </w:rPr>
              <w:t xml:space="preserve">6.4 </w:t>
            </w:r>
            <w:proofErr w:type="spellStart"/>
            <w:r w:rsidRPr="00F936A2">
              <w:rPr>
                <w:lang w:val="en-US"/>
              </w:rPr>
              <w:t>ms</w:t>
            </w:r>
            <w:proofErr w:type="spellEnd"/>
          </w:p>
        </w:tc>
        <w:tc>
          <w:tcPr>
            <w:tcW w:w="1376" w:type="dxa"/>
          </w:tcPr>
          <w:p w14:paraId="25DC5B78" w14:textId="45BE8039" w:rsidR="00EB79E6" w:rsidRDefault="00EB79E6" w:rsidP="003A09D5">
            <w:pPr>
              <w:jc w:val="both"/>
            </w:pPr>
            <w:r w:rsidRPr="00F936A2">
              <w:rPr>
                <w:lang w:val="en-US"/>
              </w:rPr>
              <w:t>30</w:t>
            </w:r>
            <w:r w:rsidRPr="003049FC">
              <w:rPr>
                <w:vertAlign w:val="superscript"/>
                <w:lang w:val="en-US"/>
              </w:rPr>
              <w:t xml:space="preserve"> o</w:t>
            </w:r>
          </w:p>
        </w:tc>
        <w:tc>
          <w:tcPr>
            <w:tcW w:w="1745" w:type="dxa"/>
          </w:tcPr>
          <w:p w14:paraId="11ADD78C" w14:textId="2E014789" w:rsidR="00EB79E6" w:rsidRDefault="00EB79E6" w:rsidP="003A09D5">
            <w:pPr>
              <w:jc w:val="both"/>
            </w:pPr>
            <w:r w:rsidRPr="00F936A2">
              <w:rPr>
                <w:lang w:val="en-US"/>
              </w:rPr>
              <w:t xml:space="preserve">4 </w:t>
            </w:r>
            <w:proofErr w:type="spellStart"/>
            <w:r w:rsidRPr="00F936A2">
              <w:rPr>
                <w:lang w:val="en-US"/>
              </w:rPr>
              <w:t>ms</w:t>
            </w:r>
            <w:proofErr w:type="spellEnd"/>
          </w:p>
        </w:tc>
        <w:tc>
          <w:tcPr>
            <w:tcW w:w="2154" w:type="dxa"/>
          </w:tcPr>
          <w:p w14:paraId="5532DE3D" w14:textId="02221995" w:rsidR="00EB79E6" w:rsidRDefault="00EB79E6" w:rsidP="003A09D5">
            <w:pPr>
              <w:jc w:val="both"/>
            </w:pPr>
            <w:r w:rsidRPr="00F936A2">
              <w:rPr>
                <w:lang w:val="en-US"/>
              </w:rPr>
              <w:t xml:space="preserve">10.4 </w:t>
            </w:r>
            <w:proofErr w:type="spellStart"/>
            <w:r w:rsidRPr="00F936A2">
              <w:rPr>
                <w:lang w:val="en-US"/>
              </w:rPr>
              <w:t>ms</w:t>
            </w:r>
            <w:proofErr w:type="spellEnd"/>
          </w:p>
        </w:tc>
      </w:tr>
      <w:tr w:rsidR="00EB79E6" w14:paraId="51338C4F" w14:textId="77777777" w:rsidTr="009D56CA">
        <w:tc>
          <w:tcPr>
            <w:tcW w:w="794" w:type="dxa"/>
            <w:vMerge w:val="restart"/>
          </w:tcPr>
          <w:p w14:paraId="4D4086E4" w14:textId="6B3757F0" w:rsidR="00EB79E6" w:rsidRDefault="00EB79E6" w:rsidP="003A09D5">
            <w:pPr>
              <w:jc w:val="both"/>
            </w:pPr>
            <w:r>
              <w:t>SAT2</w:t>
            </w:r>
          </w:p>
        </w:tc>
        <w:tc>
          <w:tcPr>
            <w:tcW w:w="739" w:type="dxa"/>
          </w:tcPr>
          <w:p w14:paraId="3F83C2DA" w14:textId="1EAC5318" w:rsidR="00EB79E6" w:rsidRDefault="00EB79E6" w:rsidP="003A09D5">
            <w:pPr>
              <w:jc w:val="both"/>
            </w:pPr>
            <w:r w:rsidRPr="00F936A2">
              <w:rPr>
                <w:lang w:val="en-US"/>
              </w:rPr>
              <w:t>T1</w:t>
            </w:r>
          </w:p>
        </w:tc>
        <w:tc>
          <w:tcPr>
            <w:tcW w:w="805" w:type="dxa"/>
          </w:tcPr>
          <w:p w14:paraId="3CD6FFDC" w14:textId="2AD6C7DF" w:rsidR="00EB79E6" w:rsidRDefault="00EB79E6" w:rsidP="003A09D5">
            <w:pPr>
              <w:jc w:val="both"/>
            </w:pPr>
            <w:r w:rsidRPr="00F936A2">
              <w:rPr>
                <w:lang w:val="en-US"/>
              </w:rPr>
              <w:t>30</w:t>
            </w:r>
            <w:r w:rsidRPr="003049FC">
              <w:rPr>
                <w:vertAlign w:val="superscript"/>
                <w:lang w:val="en-US"/>
              </w:rPr>
              <w:t xml:space="preserve"> o</w:t>
            </w:r>
          </w:p>
        </w:tc>
        <w:tc>
          <w:tcPr>
            <w:tcW w:w="1766" w:type="dxa"/>
          </w:tcPr>
          <w:p w14:paraId="1F226C85" w14:textId="281FAF22" w:rsidR="00EB79E6" w:rsidRDefault="00EB79E6" w:rsidP="003A09D5">
            <w:pPr>
              <w:jc w:val="both"/>
            </w:pPr>
            <w:r w:rsidRPr="00F936A2">
              <w:rPr>
                <w:lang w:val="en-US"/>
              </w:rPr>
              <w:t xml:space="preserve">4 </w:t>
            </w:r>
            <w:proofErr w:type="spellStart"/>
            <w:r w:rsidRPr="00F936A2">
              <w:rPr>
                <w:lang w:val="en-US"/>
              </w:rPr>
              <w:t>ms</w:t>
            </w:r>
            <w:proofErr w:type="spellEnd"/>
          </w:p>
        </w:tc>
        <w:tc>
          <w:tcPr>
            <w:tcW w:w="1376" w:type="dxa"/>
          </w:tcPr>
          <w:p w14:paraId="06A9FCBE" w14:textId="058F8382" w:rsidR="00EB79E6" w:rsidRDefault="00EB79E6" w:rsidP="003A09D5">
            <w:pPr>
              <w:jc w:val="both"/>
            </w:pPr>
            <w:r w:rsidRPr="00F936A2">
              <w:rPr>
                <w:lang w:val="en-US"/>
              </w:rPr>
              <w:t>65</w:t>
            </w:r>
            <w:r w:rsidRPr="003049FC">
              <w:rPr>
                <w:vertAlign w:val="superscript"/>
                <w:lang w:val="en-US"/>
              </w:rPr>
              <w:t xml:space="preserve"> o</w:t>
            </w:r>
          </w:p>
        </w:tc>
        <w:tc>
          <w:tcPr>
            <w:tcW w:w="1745" w:type="dxa"/>
          </w:tcPr>
          <w:p w14:paraId="4251B102" w14:textId="0F8A46A2" w:rsidR="00EB79E6" w:rsidRDefault="00EB79E6" w:rsidP="003A09D5">
            <w:pPr>
              <w:jc w:val="both"/>
            </w:pPr>
            <w:r w:rsidRPr="00F936A2">
              <w:rPr>
                <w:lang w:val="en-US"/>
              </w:rPr>
              <w:t xml:space="preserve">2.2 </w:t>
            </w:r>
            <w:proofErr w:type="spellStart"/>
            <w:r w:rsidRPr="00F936A2">
              <w:rPr>
                <w:lang w:val="en-US"/>
              </w:rPr>
              <w:t>ms</w:t>
            </w:r>
            <w:proofErr w:type="spellEnd"/>
          </w:p>
        </w:tc>
        <w:tc>
          <w:tcPr>
            <w:tcW w:w="2154" w:type="dxa"/>
          </w:tcPr>
          <w:p w14:paraId="5300651B" w14:textId="46C46BA0" w:rsidR="00EB79E6" w:rsidRDefault="00EB79E6" w:rsidP="003A09D5">
            <w:pPr>
              <w:jc w:val="both"/>
            </w:pPr>
            <w:r w:rsidRPr="00F936A2">
              <w:rPr>
                <w:lang w:val="en-US"/>
              </w:rPr>
              <w:t xml:space="preserve">6.2 </w:t>
            </w:r>
            <w:proofErr w:type="spellStart"/>
            <w:r w:rsidRPr="00F936A2">
              <w:rPr>
                <w:lang w:val="en-US"/>
              </w:rPr>
              <w:t>ms</w:t>
            </w:r>
            <w:proofErr w:type="spellEnd"/>
          </w:p>
        </w:tc>
      </w:tr>
      <w:tr w:rsidR="00EB79E6" w14:paraId="5E3D9297" w14:textId="77777777" w:rsidTr="009D56CA">
        <w:tc>
          <w:tcPr>
            <w:tcW w:w="794" w:type="dxa"/>
            <w:vMerge/>
          </w:tcPr>
          <w:p w14:paraId="419A81D3" w14:textId="77777777" w:rsidR="00EB79E6" w:rsidRDefault="00EB79E6" w:rsidP="003A09D5">
            <w:pPr>
              <w:jc w:val="both"/>
            </w:pPr>
          </w:p>
        </w:tc>
        <w:tc>
          <w:tcPr>
            <w:tcW w:w="739" w:type="dxa"/>
          </w:tcPr>
          <w:p w14:paraId="5F734E4C" w14:textId="53FC8E64" w:rsidR="00EB79E6" w:rsidRDefault="00EB79E6" w:rsidP="003A09D5">
            <w:pPr>
              <w:jc w:val="both"/>
            </w:pPr>
            <w:r w:rsidRPr="00F936A2">
              <w:rPr>
                <w:lang w:val="en-US"/>
              </w:rPr>
              <w:t>T2</w:t>
            </w:r>
          </w:p>
        </w:tc>
        <w:tc>
          <w:tcPr>
            <w:tcW w:w="805" w:type="dxa"/>
          </w:tcPr>
          <w:p w14:paraId="658FA0DC" w14:textId="06E2ED57" w:rsidR="00EB79E6" w:rsidRDefault="00EB79E6" w:rsidP="003A09D5">
            <w:pPr>
              <w:jc w:val="both"/>
            </w:pPr>
            <w:r w:rsidRPr="00F936A2">
              <w:rPr>
                <w:lang w:val="en-US"/>
              </w:rPr>
              <w:t>50</w:t>
            </w:r>
            <w:r w:rsidRPr="003049FC">
              <w:rPr>
                <w:vertAlign w:val="superscript"/>
                <w:lang w:val="en-US"/>
              </w:rPr>
              <w:t xml:space="preserve"> o</w:t>
            </w:r>
          </w:p>
        </w:tc>
        <w:tc>
          <w:tcPr>
            <w:tcW w:w="1766" w:type="dxa"/>
          </w:tcPr>
          <w:p w14:paraId="521AFD4D" w14:textId="55D6AE04" w:rsidR="00EB79E6" w:rsidRDefault="00EB79E6" w:rsidP="003A09D5">
            <w:pPr>
              <w:jc w:val="both"/>
            </w:pPr>
            <w:r w:rsidRPr="00F936A2">
              <w:rPr>
                <w:lang w:val="en-US"/>
              </w:rPr>
              <w:t xml:space="preserve">2.5 </w:t>
            </w:r>
            <w:proofErr w:type="spellStart"/>
            <w:r w:rsidRPr="00F936A2">
              <w:rPr>
                <w:lang w:val="en-US"/>
              </w:rPr>
              <w:t>ms</w:t>
            </w:r>
            <w:proofErr w:type="spellEnd"/>
          </w:p>
        </w:tc>
        <w:tc>
          <w:tcPr>
            <w:tcW w:w="1376" w:type="dxa"/>
          </w:tcPr>
          <w:p w14:paraId="70744398" w14:textId="4DB4DDAC" w:rsidR="00EB79E6" w:rsidRDefault="00EB79E6" w:rsidP="003A09D5">
            <w:pPr>
              <w:jc w:val="both"/>
            </w:pPr>
            <w:r w:rsidRPr="00F936A2">
              <w:rPr>
                <w:lang w:val="en-US"/>
              </w:rPr>
              <w:t>80</w:t>
            </w:r>
            <w:r w:rsidRPr="003049FC">
              <w:rPr>
                <w:vertAlign w:val="superscript"/>
                <w:lang w:val="en-US"/>
              </w:rPr>
              <w:t xml:space="preserve"> o</w:t>
            </w:r>
          </w:p>
        </w:tc>
        <w:tc>
          <w:tcPr>
            <w:tcW w:w="1745" w:type="dxa"/>
          </w:tcPr>
          <w:p w14:paraId="37520924" w14:textId="24CF2B62" w:rsidR="00EB79E6" w:rsidRDefault="00EB79E6" w:rsidP="003A09D5">
            <w:pPr>
              <w:jc w:val="both"/>
            </w:pPr>
            <w:r w:rsidRPr="00F936A2">
              <w:rPr>
                <w:lang w:val="en-US"/>
              </w:rPr>
              <w:t xml:space="preserve">2 </w:t>
            </w:r>
            <w:proofErr w:type="spellStart"/>
            <w:r w:rsidRPr="00F936A2">
              <w:rPr>
                <w:lang w:val="en-US"/>
              </w:rPr>
              <w:t>ms</w:t>
            </w:r>
            <w:proofErr w:type="spellEnd"/>
          </w:p>
        </w:tc>
        <w:tc>
          <w:tcPr>
            <w:tcW w:w="2154" w:type="dxa"/>
          </w:tcPr>
          <w:p w14:paraId="61358BB5" w14:textId="3AC0248C" w:rsidR="00EB79E6" w:rsidRDefault="00EB79E6" w:rsidP="003A09D5">
            <w:pPr>
              <w:jc w:val="both"/>
            </w:pPr>
            <w:r w:rsidRPr="00F936A2">
              <w:rPr>
                <w:lang w:val="en-US"/>
              </w:rPr>
              <w:t xml:space="preserve">4.5 </w:t>
            </w:r>
            <w:proofErr w:type="spellStart"/>
            <w:r w:rsidRPr="00F936A2">
              <w:rPr>
                <w:lang w:val="en-US"/>
              </w:rPr>
              <w:t>ms</w:t>
            </w:r>
            <w:proofErr w:type="spellEnd"/>
          </w:p>
        </w:tc>
      </w:tr>
    </w:tbl>
    <w:p w14:paraId="192C3386" w14:textId="77777777" w:rsidR="00B67447" w:rsidRPr="0008248C" w:rsidRDefault="00B67447" w:rsidP="003A09D5">
      <w:pPr>
        <w:jc w:val="both"/>
      </w:pPr>
    </w:p>
    <w:p w14:paraId="4E05A3C1" w14:textId="15B4A52D" w:rsidR="00E52E5C" w:rsidRDefault="00F106ED" w:rsidP="003A09D5">
      <w:pPr>
        <w:jc w:val="both"/>
      </w:pPr>
      <w:r>
        <w:t>According to the RAN2 agreements the UE’s timing is based on the serving cell (</w:t>
      </w:r>
      <w:proofErr w:type="spellStart"/>
      <w:r>
        <w:t>PCell</w:t>
      </w:r>
      <w:proofErr w:type="spellEnd"/>
      <w:r>
        <w:t>)</w:t>
      </w:r>
      <w:r w:rsidR="00DB0987">
        <w:t>, SAT1 in this example</w:t>
      </w:r>
      <w:r>
        <w:t>. Therefore, the UE will experience drift of the SSBs from the neighbour cell</w:t>
      </w:r>
      <w:r w:rsidR="00DB0987">
        <w:t xml:space="preserve"> (SAT2)</w:t>
      </w:r>
      <w:r>
        <w:t xml:space="preserve">. </w:t>
      </w:r>
    </w:p>
    <w:p w14:paraId="6D052140" w14:textId="6EF13D11" w:rsidR="00F106ED" w:rsidRDefault="003D4DD4" w:rsidP="003A09D5">
      <w:pPr>
        <w:jc w:val="both"/>
        <w:rPr>
          <w:lang w:val="en-US"/>
        </w:rPr>
      </w:pPr>
      <w:r>
        <w:lastRenderedPageBreak/>
        <w:t xml:space="preserve">Based on the assumed geometry of the scenario in </w:t>
      </w:r>
      <w:r w:rsidRPr="00D9227D">
        <w:fldChar w:fldCharType="begin"/>
      </w:r>
      <w:r w:rsidRPr="00D9227D">
        <w:instrText xml:space="preserve"> REF _Ref59024781 \h </w:instrText>
      </w:r>
      <w:r w:rsidR="008E2FBD">
        <w:instrText xml:space="preserve"> \* MERGEFORMAT </w:instrText>
      </w:r>
      <w:r w:rsidRPr="00D9227D">
        <w:fldChar w:fldCharType="separate"/>
      </w:r>
      <w:r w:rsidR="00101569">
        <w:t>Figure 1</w:t>
      </w:r>
      <w:r w:rsidRPr="00D9227D">
        <w:fldChar w:fldCharType="end"/>
      </w:r>
      <w:r w:rsidRPr="00D9227D">
        <w:t xml:space="preserve"> and</w:t>
      </w:r>
      <w:r>
        <w:fldChar w:fldCharType="begin"/>
      </w:r>
      <w:r>
        <w:instrText xml:space="preserve"> REF _Ref61430169 \h </w:instrText>
      </w:r>
      <w:r w:rsidR="008E2FBD">
        <w:instrText xml:space="preserve"> \* MERGEFORMAT </w:instrText>
      </w:r>
      <w:r>
        <w:fldChar w:fldCharType="separate"/>
      </w:r>
      <w:r w:rsidR="008E2FBD">
        <w:t xml:space="preserve"> </w:t>
      </w:r>
      <w:r w:rsidR="00101569">
        <w:t xml:space="preserve">Table </w:t>
      </w:r>
      <w:r w:rsidR="00101569">
        <w:rPr>
          <w:noProof/>
        </w:rPr>
        <w:t>1</w:t>
      </w:r>
      <w:r>
        <w:fldChar w:fldCharType="end"/>
      </w:r>
      <w:r>
        <w:t xml:space="preserve"> the propagation delay between NTN-GW1 and UE remains </w:t>
      </w:r>
      <w:r w:rsidR="00D42F73">
        <w:t>to be approximately</w:t>
      </w:r>
      <w:r w:rsidR="00D17759">
        <w:t xml:space="preserve"> 10.4 </w:t>
      </w:r>
      <w:proofErr w:type="spellStart"/>
      <w:r w:rsidR="00D17759">
        <w:t>ms</w:t>
      </w:r>
      <w:proofErr w:type="spellEnd"/>
      <w:r w:rsidR="00D17759">
        <w:t xml:space="preserve">, while the propagation delay between the NTN-GW2 and UE decreases from about 6.2 </w:t>
      </w:r>
      <w:proofErr w:type="spellStart"/>
      <w:r w:rsidR="00D17759">
        <w:t>ms</w:t>
      </w:r>
      <w:proofErr w:type="spellEnd"/>
      <w:r w:rsidR="00D17759">
        <w:t xml:space="preserve"> to 4.5 </w:t>
      </w:r>
      <w:proofErr w:type="spellStart"/>
      <w:r w:rsidR="00D17759">
        <w:t>ms</w:t>
      </w:r>
      <w:proofErr w:type="spellEnd"/>
      <w:r w:rsidR="00D17759">
        <w:t xml:space="preserve">. </w:t>
      </w:r>
      <w:r w:rsidR="00342C4E">
        <w:t>Th</w:t>
      </w:r>
      <w:r w:rsidR="003054E4">
        <w:t>erefore,</w:t>
      </w:r>
      <w:r w:rsidR="00342C4E">
        <w:t xml:space="preserve"> the delay difference </w:t>
      </w:r>
      <w:r w:rsidR="003054E4">
        <w:t xml:space="preserve">between the two connections, as observed by the UE, changes from 4.2 </w:t>
      </w:r>
      <w:proofErr w:type="spellStart"/>
      <w:r w:rsidR="003054E4">
        <w:t>ms</w:t>
      </w:r>
      <w:proofErr w:type="spellEnd"/>
      <w:r w:rsidR="003054E4">
        <w:t xml:space="preserve"> at T1 to 5.9 </w:t>
      </w:r>
      <w:proofErr w:type="spellStart"/>
      <w:r w:rsidR="003054E4">
        <w:t>ms</w:t>
      </w:r>
      <w:proofErr w:type="spellEnd"/>
      <w:r w:rsidR="003054E4">
        <w:t xml:space="preserve"> at T2. </w:t>
      </w:r>
      <w:r w:rsidR="00C92938">
        <w:t>T</w:t>
      </w:r>
      <w:r w:rsidR="00D71AE9" w:rsidRPr="1B76719E">
        <w:rPr>
          <w:lang w:val="en-US"/>
        </w:rPr>
        <w:t xml:space="preserve">he maximum SMTC </w:t>
      </w:r>
      <w:r w:rsidR="005077BA">
        <w:rPr>
          <w:lang w:val="en-US"/>
        </w:rPr>
        <w:t xml:space="preserve">window </w:t>
      </w:r>
      <w:r w:rsidR="00D71AE9" w:rsidRPr="1B76719E">
        <w:rPr>
          <w:lang w:val="en-US"/>
        </w:rPr>
        <w:t>duration is 5 subframes</w:t>
      </w:r>
      <w:r w:rsidR="00C92938">
        <w:rPr>
          <w:lang w:val="en-US"/>
        </w:rPr>
        <w:t>, and thus</w:t>
      </w:r>
      <w:r w:rsidR="00D71AE9" w:rsidRPr="1B76719E">
        <w:rPr>
          <w:lang w:val="en-US"/>
        </w:rPr>
        <w:t xml:space="preserve"> a statically configured window </w:t>
      </w:r>
      <w:r w:rsidR="005077BA">
        <w:rPr>
          <w:lang w:val="en-US"/>
        </w:rPr>
        <w:t xml:space="preserve">may </w:t>
      </w:r>
      <w:r w:rsidR="00090132">
        <w:rPr>
          <w:lang w:val="en-US"/>
        </w:rPr>
        <w:t>not be able to</w:t>
      </w:r>
      <w:r w:rsidR="005077BA">
        <w:rPr>
          <w:lang w:val="en-US"/>
        </w:rPr>
        <w:t xml:space="preserve"> </w:t>
      </w:r>
      <w:r w:rsidR="00D71AE9" w:rsidRPr="1B76719E">
        <w:rPr>
          <w:lang w:val="en-US"/>
        </w:rPr>
        <w:t>handle the variation in propagation delay</w:t>
      </w:r>
      <w:r w:rsidR="00090132">
        <w:rPr>
          <w:lang w:val="en-US"/>
        </w:rPr>
        <w:t>s</w:t>
      </w:r>
      <w:r w:rsidR="00C92938">
        <w:rPr>
          <w:lang w:val="en-US"/>
        </w:rPr>
        <w:t xml:space="preserve">, depending on where the </w:t>
      </w:r>
      <w:r w:rsidR="00DB0987">
        <w:rPr>
          <w:lang w:val="en-US"/>
        </w:rPr>
        <w:t>SAT2</w:t>
      </w:r>
      <w:r w:rsidR="00D42F73">
        <w:rPr>
          <w:lang w:val="en-US"/>
        </w:rPr>
        <w:t>’s</w:t>
      </w:r>
      <w:r w:rsidR="00DB0987">
        <w:rPr>
          <w:lang w:val="en-US"/>
        </w:rPr>
        <w:t xml:space="preserve"> SSB is initially </w:t>
      </w:r>
      <w:r w:rsidR="001E10FB">
        <w:rPr>
          <w:lang w:val="en-US"/>
        </w:rPr>
        <w:t>located time-wise in the SMTC window</w:t>
      </w:r>
      <w:r w:rsidR="00D71AE9" w:rsidRPr="1B76719E">
        <w:rPr>
          <w:lang w:val="en-US"/>
        </w:rPr>
        <w:t xml:space="preserve">. </w:t>
      </w:r>
    </w:p>
    <w:p w14:paraId="768B00F3" w14:textId="77777777" w:rsidR="00E52E5C" w:rsidRDefault="00E52E5C" w:rsidP="003A09D5">
      <w:pPr>
        <w:jc w:val="both"/>
        <w:rPr>
          <w:lang w:val="en-US"/>
        </w:rPr>
      </w:pPr>
      <w:r>
        <w:rPr>
          <w:lang w:val="en-US"/>
        </w:rPr>
        <w:t>Since RAN2 has agreed that UEs are not required to monitor for SSBs outside the configured SMTC window it makes measurements on neighbor cells challenging with current SMTC configuration options, at least for (semi-) static SMTC configurations.</w:t>
      </w:r>
    </w:p>
    <w:p w14:paraId="3DDDBE3C" w14:textId="10AE7AA7" w:rsidR="00E52E5C" w:rsidRDefault="00654E9C" w:rsidP="003A09D5">
      <w:pPr>
        <w:jc w:val="both"/>
        <w:rPr>
          <w:lang w:val="en-US"/>
        </w:rPr>
      </w:pPr>
      <w:r>
        <w:rPr>
          <w:lang w:val="en-US"/>
        </w:rPr>
        <w:t>Moreover, SAT1 and SAT2 are not necessarily time-synchronized in the sense that they use the same timing, are frame-synchronized and transmit their SSB at the same location in the frame, unlike neighboring cells from the same satellite, which can be easily synchronized. Therefore, configuration of SMTC and measurement gaps as part of the SSB search and overall synchronization procedure should at least also consider this case and the potential time offset between SAT1 and SAT2.</w:t>
      </w:r>
    </w:p>
    <w:p w14:paraId="29C92140" w14:textId="0C4E60F1" w:rsidR="0073191A" w:rsidRDefault="008B250D" w:rsidP="003A09D5">
      <w:pPr>
        <w:jc w:val="both"/>
        <w:rPr>
          <w:highlight w:val="yellow"/>
          <w:lang w:val="en-US"/>
        </w:rPr>
      </w:pPr>
      <w:r w:rsidRPr="2A95B4D3">
        <w:rPr>
          <w:b/>
          <w:bCs/>
          <w:lang w:val="en-US"/>
        </w:rPr>
        <w:t xml:space="preserve">Observation </w:t>
      </w:r>
      <w:r w:rsidR="00B90D79" w:rsidRPr="2A95B4D3">
        <w:rPr>
          <w:b/>
          <w:bCs/>
          <w:lang w:val="en-US"/>
        </w:rPr>
        <w:t>4</w:t>
      </w:r>
      <w:r w:rsidRPr="2A95B4D3">
        <w:rPr>
          <w:b/>
          <w:bCs/>
          <w:lang w:val="en-US"/>
        </w:rPr>
        <w:t xml:space="preserve">: Serving cell and target cell </w:t>
      </w:r>
      <w:r w:rsidR="00FB59EE" w:rsidRPr="2A95B4D3">
        <w:rPr>
          <w:b/>
          <w:bCs/>
          <w:lang w:val="en-US"/>
        </w:rPr>
        <w:t>might</w:t>
      </w:r>
      <w:r w:rsidRPr="2A95B4D3">
        <w:rPr>
          <w:b/>
          <w:bCs/>
          <w:lang w:val="en-US"/>
        </w:rPr>
        <w:t xml:space="preserve"> not be necessarily time- and frame-synchronized when belonging to different satellites. The resulting time offset in SSB transmission between different cells needs to be considered as well for SMTC window and gap configuration towards the UE.</w:t>
      </w:r>
    </w:p>
    <w:p w14:paraId="738B37A8" w14:textId="679CBDD8" w:rsidR="0BFB210C" w:rsidRDefault="0BFB210C" w:rsidP="003A09D5">
      <w:pPr>
        <w:jc w:val="both"/>
        <w:rPr>
          <w:color w:val="000000" w:themeColor="text1"/>
        </w:rPr>
      </w:pPr>
      <w:r w:rsidRPr="2A95B4D3">
        <w:rPr>
          <w:lang w:val="en-US"/>
        </w:rPr>
        <w:t>The fact that neighboring cells are not</w:t>
      </w:r>
      <w:r w:rsidR="4A5828E6" w:rsidRPr="2A95B4D3">
        <w:rPr>
          <w:lang w:val="en-US"/>
        </w:rPr>
        <w:t xml:space="preserve"> </w:t>
      </w:r>
      <w:r w:rsidR="273512DB" w:rsidRPr="2A95B4D3">
        <w:rPr>
          <w:lang w:val="en-US"/>
        </w:rPr>
        <w:t>necessarily time-synchronized</w:t>
      </w:r>
      <w:r w:rsidR="5B012198" w:rsidRPr="2A95B4D3">
        <w:rPr>
          <w:lang w:val="en-US"/>
        </w:rPr>
        <w:t xml:space="preserve"> also </w:t>
      </w:r>
      <w:r w:rsidR="273512DB" w:rsidRPr="2A95B4D3">
        <w:rPr>
          <w:lang w:val="en-US"/>
        </w:rPr>
        <w:t>put</w:t>
      </w:r>
      <w:r w:rsidR="5757F12F" w:rsidRPr="2A95B4D3">
        <w:rPr>
          <w:lang w:val="en-US"/>
        </w:rPr>
        <w:t>s</w:t>
      </w:r>
      <w:r w:rsidR="273512DB" w:rsidRPr="2A95B4D3">
        <w:rPr>
          <w:lang w:val="en-US"/>
        </w:rPr>
        <w:t xml:space="preserve"> challenges to initial access and handover procedures. Naturally, any</w:t>
      </w:r>
      <w:r w:rsidR="2A068BC4" w:rsidRPr="2A95B4D3">
        <w:rPr>
          <w:color w:val="000000" w:themeColor="text1"/>
        </w:rPr>
        <w:t xml:space="preserve"> initial access procedure towards a potential (first) cell may fail; in that case, the UE typically starts initial access towards another (second) </w:t>
      </w:r>
      <w:r w:rsidR="73C72315" w:rsidRPr="2A95B4D3">
        <w:rPr>
          <w:color w:val="000000" w:themeColor="text1"/>
        </w:rPr>
        <w:t xml:space="preserve">target </w:t>
      </w:r>
      <w:r w:rsidR="2A068BC4" w:rsidRPr="2A95B4D3">
        <w:rPr>
          <w:color w:val="000000" w:themeColor="text1"/>
        </w:rPr>
        <w:t>cell by trying to detect and decode another PSS/SSS pair.</w:t>
      </w:r>
      <w:r w:rsidR="48DCCB6C" w:rsidRPr="2A95B4D3">
        <w:rPr>
          <w:color w:val="000000" w:themeColor="text1"/>
        </w:rPr>
        <w:t xml:space="preserve"> </w:t>
      </w:r>
      <w:r w:rsidR="2A068BC4" w:rsidRPr="2A95B4D3">
        <w:rPr>
          <w:color w:val="000000" w:themeColor="text1"/>
        </w:rPr>
        <w:t xml:space="preserve">However, during its attempt towards the first cell, the UE may have already detected and decoded one or more SSBs from that first cell, which have provided to the UE information on the time reference used by the first cell. In </w:t>
      </w:r>
      <w:r w:rsidR="2B4699F9" w:rsidRPr="2A95B4D3">
        <w:rPr>
          <w:color w:val="000000" w:themeColor="text1"/>
        </w:rPr>
        <w:t>general,</w:t>
      </w:r>
      <w:r w:rsidR="2A068BC4" w:rsidRPr="2A95B4D3">
        <w:rPr>
          <w:color w:val="000000" w:themeColor="text1"/>
        </w:rPr>
        <w:t xml:space="preserve"> </w:t>
      </w:r>
      <w:r w:rsidR="49448B5A" w:rsidRPr="2A95B4D3">
        <w:rPr>
          <w:color w:val="000000" w:themeColor="text1"/>
        </w:rPr>
        <w:t xml:space="preserve">a UE has synchronization information not only about its serving cell but </w:t>
      </w:r>
      <w:r w:rsidR="2A068BC4" w:rsidRPr="2A95B4D3">
        <w:rPr>
          <w:color w:val="000000" w:themeColor="text1"/>
        </w:rPr>
        <w:t xml:space="preserve">may also have prior time and/or frequency synchronization information from an earlier cell </w:t>
      </w:r>
      <w:r w:rsidR="03043DF4" w:rsidRPr="2A95B4D3">
        <w:rPr>
          <w:color w:val="000000" w:themeColor="text1"/>
        </w:rPr>
        <w:t>attempt.</w:t>
      </w:r>
      <w:r w:rsidR="2A068BC4" w:rsidRPr="00A01338">
        <w:rPr>
          <w:color w:val="000000" w:themeColor="text1"/>
        </w:rPr>
        <w:t xml:space="preserve"> </w:t>
      </w:r>
      <w:r w:rsidR="05D588DE" w:rsidRPr="2A95B4D3">
        <w:rPr>
          <w:color w:val="000000" w:themeColor="text1"/>
        </w:rPr>
        <w:t>A</w:t>
      </w:r>
      <w:r w:rsidR="118A6EAF" w:rsidRPr="2A95B4D3">
        <w:rPr>
          <w:color w:val="000000" w:themeColor="text1"/>
        </w:rPr>
        <w:t>s of now</w:t>
      </w:r>
      <w:r w:rsidR="05D588DE" w:rsidRPr="2A95B4D3">
        <w:rPr>
          <w:color w:val="000000" w:themeColor="text1"/>
        </w:rPr>
        <w:t>, it is not known to the UE whether it can make use of the serving cell timing or timing obtained through SSB decoding from an earlier cell when it attempts to access a</w:t>
      </w:r>
      <w:r w:rsidR="05D588DE" w:rsidRPr="2A95B4D3">
        <w:rPr>
          <w:rFonts w:ascii="Arial" w:eastAsia="Arial" w:hAnsi="Arial" w:cs="Arial"/>
          <w:color w:val="000000" w:themeColor="text1"/>
        </w:rPr>
        <w:t xml:space="preserve"> </w:t>
      </w:r>
      <w:r w:rsidR="05D588DE" w:rsidRPr="2A95B4D3">
        <w:rPr>
          <w:color w:val="000000" w:themeColor="text1"/>
        </w:rPr>
        <w:t xml:space="preserve">new </w:t>
      </w:r>
      <w:r w:rsidR="295C7B49" w:rsidRPr="2A95B4D3">
        <w:rPr>
          <w:color w:val="000000" w:themeColor="text1"/>
        </w:rPr>
        <w:t xml:space="preserve">target </w:t>
      </w:r>
      <w:r w:rsidR="05D588DE" w:rsidRPr="2A95B4D3">
        <w:rPr>
          <w:color w:val="000000" w:themeColor="text1"/>
        </w:rPr>
        <w:t xml:space="preserve">cell. </w:t>
      </w:r>
      <w:r w:rsidR="4B0ECEE7" w:rsidRPr="00A01338">
        <w:rPr>
          <w:color w:val="000000" w:themeColor="text1"/>
        </w:rPr>
        <w:t>Such type of informat</w:t>
      </w:r>
      <w:r w:rsidR="4B0ECEE7" w:rsidRPr="2A95B4D3">
        <w:rPr>
          <w:color w:val="000000" w:themeColor="text1"/>
        </w:rPr>
        <w:t>i</w:t>
      </w:r>
      <w:r w:rsidR="4B0ECEE7" w:rsidRPr="00A01338">
        <w:rPr>
          <w:color w:val="000000" w:themeColor="text1"/>
        </w:rPr>
        <w:t xml:space="preserve">on </w:t>
      </w:r>
      <w:r w:rsidR="2A068BC4" w:rsidRPr="2A95B4D3">
        <w:rPr>
          <w:color w:val="000000" w:themeColor="text1"/>
        </w:rPr>
        <w:t>w</w:t>
      </w:r>
      <w:r w:rsidR="26CBE889" w:rsidRPr="2A95B4D3">
        <w:rPr>
          <w:color w:val="000000" w:themeColor="text1"/>
        </w:rPr>
        <w:t>ould</w:t>
      </w:r>
      <w:r w:rsidR="2A068BC4" w:rsidRPr="2A95B4D3">
        <w:rPr>
          <w:color w:val="000000" w:themeColor="text1"/>
        </w:rPr>
        <w:t xml:space="preserve"> make the initial access</w:t>
      </w:r>
      <w:r w:rsidR="50BA7641" w:rsidRPr="2A95B4D3">
        <w:rPr>
          <w:color w:val="000000" w:themeColor="text1"/>
        </w:rPr>
        <w:t xml:space="preserve">/handover </w:t>
      </w:r>
      <w:r w:rsidR="2A068BC4" w:rsidRPr="2A95B4D3">
        <w:rPr>
          <w:color w:val="000000" w:themeColor="text1"/>
        </w:rPr>
        <w:t>to that new cell more efficient for the UE as it does not need to make a full time/frequency search</w:t>
      </w:r>
      <w:r w:rsidR="331CE79F" w:rsidRPr="2A95B4D3">
        <w:rPr>
          <w:color w:val="000000" w:themeColor="text1"/>
        </w:rPr>
        <w:t xml:space="preserve"> for the SSB where PSS/SSS are included.</w:t>
      </w:r>
      <w:r w:rsidR="5A8B2890" w:rsidRPr="2A95B4D3">
        <w:rPr>
          <w:color w:val="000000" w:themeColor="text1"/>
        </w:rPr>
        <w:t xml:space="preserve"> K</w:t>
      </w:r>
      <w:r w:rsidR="2A068BC4" w:rsidRPr="2A95B4D3">
        <w:rPr>
          <w:color w:val="000000" w:themeColor="text1"/>
        </w:rPr>
        <w:t xml:space="preserve">nowing where the SSB is transmitted in </w:t>
      </w:r>
      <w:r w:rsidR="6493E6A1" w:rsidRPr="2A95B4D3">
        <w:rPr>
          <w:color w:val="000000" w:themeColor="text1"/>
        </w:rPr>
        <w:t xml:space="preserve">time and </w:t>
      </w:r>
      <w:r w:rsidR="2A068BC4" w:rsidRPr="2A95B4D3">
        <w:rPr>
          <w:color w:val="000000" w:themeColor="text1"/>
        </w:rPr>
        <w:t>frequency, can prevent the UE from searching within the full reception bandwidth.</w:t>
      </w:r>
    </w:p>
    <w:p w14:paraId="127BADA2" w14:textId="5A2F5AC3" w:rsidR="2A068BC4" w:rsidRDefault="2A068BC4" w:rsidP="003A09D5">
      <w:pPr>
        <w:jc w:val="both"/>
        <w:rPr>
          <w:color w:val="000000" w:themeColor="text1"/>
          <w:lang w:val="en-US"/>
        </w:rPr>
      </w:pPr>
      <w:r w:rsidRPr="2A95B4D3">
        <w:rPr>
          <w:b/>
          <w:bCs/>
          <w:color w:val="000000" w:themeColor="text1"/>
        </w:rPr>
        <w:t xml:space="preserve">Observation </w:t>
      </w:r>
      <w:r w:rsidR="7548189B" w:rsidRPr="2A95B4D3">
        <w:rPr>
          <w:b/>
          <w:bCs/>
          <w:color w:val="000000" w:themeColor="text1"/>
        </w:rPr>
        <w:t>5</w:t>
      </w:r>
      <w:r w:rsidRPr="2A95B4D3">
        <w:rPr>
          <w:b/>
          <w:bCs/>
          <w:color w:val="000000" w:themeColor="text1"/>
        </w:rPr>
        <w:t>: A UE can benefit</w:t>
      </w:r>
      <w:r w:rsidR="42F336CC" w:rsidRPr="2A95B4D3">
        <w:rPr>
          <w:b/>
          <w:bCs/>
          <w:color w:val="000000" w:themeColor="text1"/>
        </w:rPr>
        <w:t xml:space="preserve"> </w:t>
      </w:r>
      <w:r w:rsidR="690626B1" w:rsidRPr="2A95B4D3">
        <w:rPr>
          <w:b/>
          <w:bCs/>
          <w:color w:val="000000" w:themeColor="text1"/>
        </w:rPr>
        <w:t xml:space="preserve">by having acquired time and frequency synchronization </w:t>
      </w:r>
      <w:r w:rsidRPr="2A95B4D3">
        <w:rPr>
          <w:b/>
          <w:bCs/>
          <w:color w:val="000000" w:themeColor="text1"/>
        </w:rPr>
        <w:t xml:space="preserve">information </w:t>
      </w:r>
      <w:r w:rsidR="2663BFBA" w:rsidRPr="2A95B4D3">
        <w:rPr>
          <w:b/>
          <w:bCs/>
          <w:color w:val="000000" w:themeColor="text1"/>
        </w:rPr>
        <w:t>about</w:t>
      </w:r>
      <w:r w:rsidR="1649C484" w:rsidRPr="2A95B4D3">
        <w:rPr>
          <w:b/>
          <w:bCs/>
          <w:color w:val="000000" w:themeColor="text1"/>
        </w:rPr>
        <w:t xml:space="preserve"> neighbo</w:t>
      </w:r>
      <w:r w:rsidR="33A8D94F" w:rsidRPr="2A95B4D3">
        <w:rPr>
          <w:b/>
          <w:bCs/>
          <w:color w:val="000000" w:themeColor="text1"/>
        </w:rPr>
        <w:t>u</w:t>
      </w:r>
      <w:r w:rsidR="1649C484" w:rsidRPr="2A95B4D3">
        <w:rPr>
          <w:b/>
          <w:bCs/>
          <w:color w:val="000000" w:themeColor="text1"/>
        </w:rPr>
        <w:t>ring</w:t>
      </w:r>
      <w:r w:rsidR="2663BFBA" w:rsidRPr="2A95B4D3">
        <w:rPr>
          <w:b/>
          <w:bCs/>
          <w:color w:val="000000" w:themeColor="text1"/>
        </w:rPr>
        <w:t xml:space="preserve"> cell</w:t>
      </w:r>
      <w:r w:rsidR="08387602" w:rsidRPr="2A95B4D3">
        <w:rPr>
          <w:b/>
          <w:bCs/>
          <w:color w:val="000000" w:themeColor="text1"/>
        </w:rPr>
        <w:t>s</w:t>
      </w:r>
      <w:r w:rsidR="431FD80F" w:rsidRPr="2A95B4D3">
        <w:rPr>
          <w:b/>
          <w:bCs/>
          <w:color w:val="000000" w:themeColor="text1"/>
        </w:rPr>
        <w:t xml:space="preserve"> through </w:t>
      </w:r>
      <w:r w:rsidR="61F5A4DE" w:rsidRPr="2A95B4D3">
        <w:rPr>
          <w:b/>
          <w:bCs/>
          <w:color w:val="000000" w:themeColor="text1"/>
        </w:rPr>
        <w:t>the</w:t>
      </w:r>
      <w:r w:rsidR="431FD80F" w:rsidRPr="2A95B4D3">
        <w:rPr>
          <w:b/>
          <w:bCs/>
          <w:color w:val="000000" w:themeColor="text1"/>
        </w:rPr>
        <w:t xml:space="preserve"> serving cell</w:t>
      </w:r>
      <w:r w:rsidR="2663BFBA" w:rsidRPr="2A95B4D3">
        <w:rPr>
          <w:b/>
          <w:bCs/>
          <w:color w:val="000000" w:themeColor="text1"/>
        </w:rPr>
        <w:t xml:space="preserve">, </w:t>
      </w:r>
      <w:r w:rsidRPr="2A95B4D3">
        <w:rPr>
          <w:b/>
          <w:bCs/>
          <w:color w:val="000000" w:themeColor="text1"/>
        </w:rPr>
        <w:t xml:space="preserve">when trying to access </w:t>
      </w:r>
      <w:r w:rsidR="0E5006F0" w:rsidRPr="2A95B4D3">
        <w:rPr>
          <w:b/>
          <w:bCs/>
          <w:color w:val="000000" w:themeColor="text1"/>
        </w:rPr>
        <w:t xml:space="preserve">a </w:t>
      </w:r>
      <w:r w:rsidR="17199836" w:rsidRPr="2A95B4D3">
        <w:rPr>
          <w:b/>
          <w:bCs/>
          <w:color w:val="000000" w:themeColor="text1"/>
        </w:rPr>
        <w:t>target</w:t>
      </w:r>
      <w:r w:rsidRPr="2A95B4D3">
        <w:rPr>
          <w:b/>
          <w:bCs/>
          <w:color w:val="000000" w:themeColor="text1"/>
        </w:rPr>
        <w:t xml:space="preserve"> cell.</w:t>
      </w:r>
    </w:p>
    <w:p w14:paraId="7E75CADB" w14:textId="29B6F6A9" w:rsidR="2A068BC4" w:rsidRDefault="2A068BC4" w:rsidP="003A09D5">
      <w:pPr>
        <w:tabs>
          <w:tab w:val="num" w:pos="720"/>
        </w:tabs>
        <w:jc w:val="both"/>
        <w:rPr>
          <w:color w:val="000000" w:themeColor="text1"/>
          <w:lang w:val="en-US"/>
        </w:rPr>
      </w:pPr>
      <w:r w:rsidRPr="2A95B4D3">
        <w:rPr>
          <w:color w:val="000000" w:themeColor="text1"/>
        </w:rPr>
        <w:t>If the earlier c</w:t>
      </w:r>
      <w:r w:rsidR="402797B7" w:rsidRPr="2A95B4D3">
        <w:rPr>
          <w:color w:val="000000" w:themeColor="text1"/>
        </w:rPr>
        <w:t>e</w:t>
      </w:r>
      <w:r w:rsidRPr="2A95B4D3">
        <w:rPr>
          <w:color w:val="000000" w:themeColor="text1"/>
        </w:rPr>
        <w:t>ll was transmitted from the same satellite, it will be synchronized, whereas cells from other satellites typically are not synchronized. The exact information on neighbouring cell synchronization information is not available to the UEs. Moreover, the mapping between physical Cell ID and satellite or beam of a satellite is not fixed, which implies that by only knowing the satellite or satellite beam through e.g</w:t>
      </w:r>
      <w:r w:rsidRPr="2A95B4D3">
        <w:rPr>
          <w:rFonts w:ascii="Arial" w:eastAsia="Arial" w:hAnsi="Arial" w:cs="Arial"/>
          <w:color w:val="000000" w:themeColor="text1"/>
        </w:rPr>
        <w:t>.,</w:t>
      </w:r>
      <w:r w:rsidRPr="2A95B4D3">
        <w:rPr>
          <w:color w:val="000000" w:themeColor="text1"/>
        </w:rPr>
        <w:t xml:space="preserve"> satellite ephemeris, does not provide information on the synchronization status of neighbouring cells.</w:t>
      </w:r>
    </w:p>
    <w:p w14:paraId="324C0704" w14:textId="2B6B0D62" w:rsidR="3305DCE5" w:rsidRDefault="3305DCE5" w:rsidP="003A09D5">
      <w:pPr>
        <w:jc w:val="both"/>
        <w:rPr>
          <w:color w:val="000000" w:themeColor="text1"/>
        </w:rPr>
      </w:pPr>
      <w:r w:rsidRPr="2A95B4D3">
        <w:rPr>
          <w:color w:val="000000" w:themeColor="text1"/>
        </w:rPr>
        <w:t>Knowledge of whether neighbouring</w:t>
      </w:r>
      <w:r w:rsidR="00A513E6">
        <w:rPr>
          <w:color w:val="000000" w:themeColor="text1"/>
        </w:rPr>
        <w:t xml:space="preserve"> </w:t>
      </w:r>
      <w:r w:rsidRPr="2A95B4D3">
        <w:rPr>
          <w:color w:val="000000" w:themeColor="text1"/>
        </w:rPr>
        <w:t>cells are synchronised, i.e. on the same satellite, knowledge about the time/frequency offset in SSB compared to the serving/earlier cell as well as the physical Cell I</w:t>
      </w:r>
      <w:r w:rsidR="593DE6C7" w:rsidRPr="2A95B4D3">
        <w:rPr>
          <w:color w:val="000000" w:themeColor="text1"/>
        </w:rPr>
        <w:t xml:space="preserve">D is </w:t>
      </w:r>
      <w:r w:rsidR="0DA13685" w:rsidRPr="2A95B4D3">
        <w:rPr>
          <w:color w:val="000000" w:themeColor="text1"/>
        </w:rPr>
        <w:t>beneficial</w:t>
      </w:r>
      <w:r w:rsidR="593DE6C7" w:rsidRPr="2A95B4D3">
        <w:rPr>
          <w:color w:val="000000" w:themeColor="text1"/>
        </w:rPr>
        <w:t xml:space="preserve"> for the UE, </w:t>
      </w:r>
      <w:r w:rsidRPr="2A95B4D3">
        <w:rPr>
          <w:color w:val="000000" w:themeColor="text1"/>
        </w:rPr>
        <w:t>whether it is due to a failed initial access or for mobility purpose</w:t>
      </w:r>
      <w:r w:rsidR="1E2905FE" w:rsidRPr="2A95B4D3">
        <w:rPr>
          <w:color w:val="000000" w:themeColor="text1"/>
        </w:rPr>
        <w:t>s.</w:t>
      </w:r>
    </w:p>
    <w:p w14:paraId="7FD810F4" w14:textId="18A13272" w:rsidR="2A068BC4" w:rsidRDefault="2A068BC4" w:rsidP="003A09D5">
      <w:pPr>
        <w:jc w:val="both"/>
        <w:rPr>
          <w:color w:val="000000" w:themeColor="text1"/>
          <w:lang w:val="en-US"/>
        </w:rPr>
      </w:pPr>
      <w:r w:rsidRPr="2A95B4D3">
        <w:rPr>
          <w:b/>
          <w:bCs/>
          <w:color w:val="000000" w:themeColor="text1"/>
        </w:rPr>
        <w:t xml:space="preserve">Proposal </w:t>
      </w:r>
      <w:r w:rsidR="4929EAFB" w:rsidRPr="2A95B4D3">
        <w:rPr>
          <w:b/>
          <w:bCs/>
          <w:color w:val="000000" w:themeColor="text1"/>
        </w:rPr>
        <w:t>1</w:t>
      </w:r>
      <w:r w:rsidRPr="2A95B4D3">
        <w:rPr>
          <w:b/>
          <w:bCs/>
          <w:color w:val="000000" w:themeColor="text1"/>
        </w:rPr>
        <w:t>: RAN</w:t>
      </w:r>
      <w:r w:rsidR="7882805A" w:rsidRPr="2A95B4D3">
        <w:rPr>
          <w:b/>
          <w:bCs/>
          <w:color w:val="000000" w:themeColor="text1"/>
        </w:rPr>
        <w:t>2</w:t>
      </w:r>
      <w:r w:rsidRPr="2A95B4D3">
        <w:rPr>
          <w:b/>
          <w:bCs/>
          <w:color w:val="000000" w:themeColor="text1"/>
        </w:rPr>
        <w:t xml:space="preserve"> to discuss whether </w:t>
      </w:r>
      <w:r w:rsidR="3F808965" w:rsidRPr="2A95B4D3">
        <w:rPr>
          <w:b/>
          <w:bCs/>
          <w:color w:val="000000" w:themeColor="text1"/>
        </w:rPr>
        <w:t xml:space="preserve">time/frequency synchronization </w:t>
      </w:r>
      <w:r w:rsidRPr="2A95B4D3">
        <w:rPr>
          <w:b/>
          <w:bCs/>
          <w:color w:val="000000" w:themeColor="text1"/>
        </w:rPr>
        <w:t xml:space="preserve">information </w:t>
      </w:r>
      <w:r w:rsidR="023564A7" w:rsidRPr="2A95B4D3">
        <w:rPr>
          <w:b/>
          <w:bCs/>
          <w:color w:val="000000" w:themeColor="text1"/>
        </w:rPr>
        <w:t>about the neighbo</w:t>
      </w:r>
      <w:r w:rsidR="36A8A8F5" w:rsidRPr="2A95B4D3">
        <w:rPr>
          <w:b/>
          <w:bCs/>
          <w:color w:val="000000" w:themeColor="text1"/>
        </w:rPr>
        <w:t>u</w:t>
      </w:r>
      <w:r w:rsidR="023564A7" w:rsidRPr="2A95B4D3">
        <w:rPr>
          <w:b/>
          <w:bCs/>
          <w:color w:val="000000" w:themeColor="text1"/>
        </w:rPr>
        <w:t xml:space="preserve">ring cells </w:t>
      </w:r>
      <w:r w:rsidRPr="2A95B4D3">
        <w:rPr>
          <w:b/>
          <w:bCs/>
          <w:color w:val="000000" w:themeColor="text1"/>
        </w:rPr>
        <w:t xml:space="preserve">should be </w:t>
      </w:r>
      <w:r w:rsidR="1774034F" w:rsidRPr="2A95B4D3">
        <w:rPr>
          <w:b/>
          <w:bCs/>
          <w:color w:val="000000" w:themeColor="text1"/>
        </w:rPr>
        <w:t xml:space="preserve">provided </w:t>
      </w:r>
      <w:r w:rsidRPr="2A95B4D3">
        <w:rPr>
          <w:b/>
          <w:bCs/>
          <w:color w:val="000000" w:themeColor="text1"/>
        </w:rPr>
        <w:t xml:space="preserve">by </w:t>
      </w:r>
      <w:r w:rsidR="34AFA659" w:rsidRPr="2A95B4D3">
        <w:rPr>
          <w:b/>
          <w:bCs/>
          <w:color w:val="000000" w:themeColor="text1"/>
        </w:rPr>
        <w:t xml:space="preserve">the serving </w:t>
      </w:r>
      <w:r w:rsidRPr="2A95B4D3">
        <w:rPr>
          <w:b/>
          <w:bCs/>
          <w:color w:val="000000" w:themeColor="text1"/>
        </w:rPr>
        <w:t xml:space="preserve">cell </w:t>
      </w:r>
      <w:r w:rsidR="72A01C18" w:rsidRPr="2A95B4D3">
        <w:rPr>
          <w:b/>
          <w:bCs/>
          <w:color w:val="000000" w:themeColor="text1"/>
        </w:rPr>
        <w:t xml:space="preserve">to assist </w:t>
      </w:r>
      <w:r w:rsidRPr="2A95B4D3">
        <w:rPr>
          <w:b/>
          <w:bCs/>
          <w:color w:val="000000" w:themeColor="text1"/>
        </w:rPr>
        <w:t>UE</w:t>
      </w:r>
      <w:r w:rsidR="461C1104" w:rsidRPr="2A95B4D3">
        <w:rPr>
          <w:b/>
          <w:bCs/>
          <w:color w:val="000000" w:themeColor="text1"/>
        </w:rPr>
        <w:t>s</w:t>
      </w:r>
      <w:r w:rsidRPr="2A95B4D3">
        <w:rPr>
          <w:b/>
          <w:bCs/>
          <w:color w:val="000000" w:themeColor="text1"/>
        </w:rPr>
        <w:t xml:space="preserve"> </w:t>
      </w:r>
      <w:r w:rsidR="1ABB8CA8" w:rsidRPr="2A95B4D3">
        <w:rPr>
          <w:b/>
          <w:bCs/>
          <w:color w:val="000000" w:themeColor="text1"/>
        </w:rPr>
        <w:t xml:space="preserve">to </w:t>
      </w:r>
      <w:r w:rsidR="14E6CEAB" w:rsidRPr="2A95B4D3">
        <w:rPr>
          <w:b/>
          <w:bCs/>
          <w:color w:val="000000" w:themeColor="text1"/>
        </w:rPr>
        <w:t xml:space="preserve">access </w:t>
      </w:r>
      <w:r w:rsidR="2BE4FFAB" w:rsidRPr="2A95B4D3">
        <w:rPr>
          <w:b/>
          <w:bCs/>
          <w:color w:val="000000" w:themeColor="text1"/>
        </w:rPr>
        <w:t xml:space="preserve">a </w:t>
      </w:r>
      <w:r w:rsidR="14E6CEAB" w:rsidRPr="2A95B4D3">
        <w:rPr>
          <w:b/>
          <w:bCs/>
          <w:color w:val="000000" w:themeColor="text1"/>
        </w:rPr>
        <w:t xml:space="preserve">target </w:t>
      </w:r>
      <w:proofErr w:type="spellStart"/>
      <w:r w:rsidR="224D4F9E" w:rsidRPr="2A95B4D3">
        <w:rPr>
          <w:b/>
          <w:bCs/>
          <w:color w:val="000000" w:themeColor="text1"/>
        </w:rPr>
        <w:t>neighboring</w:t>
      </w:r>
      <w:proofErr w:type="spellEnd"/>
      <w:r w:rsidR="224D4F9E" w:rsidRPr="2A95B4D3">
        <w:rPr>
          <w:b/>
          <w:bCs/>
          <w:color w:val="000000" w:themeColor="text1"/>
        </w:rPr>
        <w:t xml:space="preserve"> </w:t>
      </w:r>
      <w:r w:rsidRPr="2A95B4D3">
        <w:rPr>
          <w:b/>
          <w:bCs/>
          <w:color w:val="000000" w:themeColor="text1"/>
        </w:rPr>
        <w:t>cell.</w:t>
      </w:r>
    </w:p>
    <w:p w14:paraId="703DDCA2" w14:textId="2ACABFE5" w:rsidR="00CF6FC5" w:rsidRDefault="00A80E84" w:rsidP="003A09D5">
      <w:pPr>
        <w:pStyle w:val="Heading2"/>
        <w:jc w:val="both"/>
        <w:rPr>
          <w:lang w:val="en-US"/>
        </w:rPr>
      </w:pPr>
      <w:r>
        <w:rPr>
          <w:lang w:val="en-US"/>
        </w:rPr>
        <w:t xml:space="preserve">3.1 </w:t>
      </w:r>
      <w:r w:rsidR="00CF6FC5">
        <w:rPr>
          <w:lang w:val="en-US"/>
        </w:rPr>
        <w:t>Regarding UE-based SMTC solution</w:t>
      </w:r>
    </w:p>
    <w:p w14:paraId="66CC41A2" w14:textId="25CF9017" w:rsidR="001B5C77" w:rsidRDefault="00CF6FC5" w:rsidP="003A09D5">
      <w:pPr>
        <w:jc w:val="both"/>
      </w:pPr>
      <w:r>
        <w:t>The RAN2 #115 agreements include a</w:t>
      </w:r>
      <w:r w:rsidR="00ED768E">
        <w:t>n</w:t>
      </w:r>
      <w:r>
        <w:t xml:space="preserve"> FFS on whether a UE-based solution for SMTC/measurement gap configuration is supported or not. As previously discussed in </w:t>
      </w:r>
      <w:r>
        <w:fldChar w:fldCharType="begin"/>
      </w:r>
      <w:r>
        <w:instrText xml:space="preserve"> REF _Ref71193948 \r \h </w:instrText>
      </w:r>
      <w:r w:rsidR="003A09D5">
        <w:instrText xml:space="preserve"> \* MERGEFORMAT </w:instrText>
      </w:r>
      <w:r>
        <w:fldChar w:fldCharType="separate"/>
      </w:r>
      <w:r>
        <w:t>[6]</w:t>
      </w:r>
      <w:r>
        <w:fldChar w:fldCharType="end"/>
      </w:r>
      <w:r>
        <w:t xml:space="preserve"> we consider such a solution useful. A network-side only solution requires potentially many SMTC windows (with corresponding measurement gaps) with potentially frequent adjustments</w:t>
      </w:r>
      <w:r w:rsidR="00ED768E">
        <w:t xml:space="preserve"> and RRC reconfigurations</w:t>
      </w:r>
      <w:r>
        <w:t xml:space="preserve">, while a stand-alone UE solution is challenging, because the UE will lack information about the varying feeder link delay of the target cell, if it is on a different satellite than the satellite of the serving cell. </w:t>
      </w:r>
      <w:r w:rsidR="00502BC2">
        <w:t>Furthermore, if the SMTC window also requires a measurement gap it is important that the network is aware of the gap placement, such that proper scheduling can be made.</w:t>
      </w:r>
    </w:p>
    <w:p w14:paraId="2E1BC1B0" w14:textId="38237C5E" w:rsidR="00CF6FC5" w:rsidRPr="006409F1" w:rsidRDefault="001B5C77" w:rsidP="003A09D5">
      <w:pPr>
        <w:jc w:val="both"/>
        <w:rPr>
          <w:b/>
          <w:bCs/>
        </w:rPr>
      </w:pPr>
      <w:r w:rsidRPr="006409F1">
        <w:rPr>
          <w:b/>
          <w:bCs/>
        </w:rPr>
        <w:t xml:space="preserve">Observation </w:t>
      </w:r>
      <w:r w:rsidR="00CF0DCE">
        <w:rPr>
          <w:b/>
          <w:bCs/>
        </w:rPr>
        <w:t>6</w:t>
      </w:r>
      <w:r w:rsidRPr="006409F1">
        <w:rPr>
          <w:b/>
          <w:bCs/>
        </w:rPr>
        <w:t xml:space="preserve">: </w:t>
      </w:r>
      <w:r w:rsidR="00537A80" w:rsidRPr="006409F1">
        <w:rPr>
          <w:b/>
          <w:bCs/>
        </w:rPr>
        <w:t>NW-based SMTC solution is not flexible, may require frequent reconfiguration</w:t>
      </w:r>
      <w:r w:rsidR="00856B1B" w:rsidRPr="006409F1">
        <w:rPr>
          <w:b/>
          <w:bCs/>
        </w:rPr>
        <w:t xml:space="preserve">s and </w:t>
      </w:r>
      <w:r w:rsidR="006409F1" w:rsidRPr="006409F1">
        <w:rPr>
          <w:b/>
          <w:bCs/>
        </w:rPr>
        <w:t>measurement gap per each SMTC configuration.</w:t>
      </w:r>
    </w:p>
    <w:p w14:paraId="12892B71" w14:textId="26D77D1A" w:rsidR="00CF6FC5" w:rsidRPr="00A01338" w:rsidRDefault="00502BC2" w:rsidP="003A09D5">
      <w:pPr>
        <w:jc w:val="both"/>
      </w:pPr>
      <w:r>
        <w:t xml:space="preserve">The UE-based solution, which we proposed in </w:t>
      </w:r>
      <w:r>
        <w:fldChar w:fldCharType="begin"/>
      </w:r>
      <w:r>
        <w:instrText xml:space="preserve"> REF _Ref71193948 \r \h </w:instrText>
      </w:r>
      <w:r w:rsidR="003A09D5">
        <w:instrText xml:space="preserve"> \* MERGEFORMAT </w:instrText>
      </w:r>
      <w:r>
        <w:fldChar w:fldCharType="separate"/>
      </w:r>
      <w:r>
        <w:t>[6]</w:t>
      </w:r>
      <w:r>
        <w:fldChar w:fldCharType="end"/>
      </w:r>
      <w:r>
        <w:t xml:space="preserve"> enables the UE to perform tracking of how the target cell SSB drifts within the network-configured SMTC window. If the drift exceeds a certain threshold the UE can shift the window</w:t>
      </w:r>
      <w:r w:rsidR="00447B17">
        <w:t xml:space="preserve">. If the </w:t>
      </w:r>
      <w:r w:rsidR="00447B17">
        <w:lastRenderedPageBreak/>
        <w:t xml:space="preserve">adjusted window extends beyond the measurement gap the UE should inform </w:t>
      </w:r>
      <w:r>
        <w:t xml:space="preserve">the network about it to ensure network and UE have the same understanding of the location of SMTC window and measurement gap. </w:t>
      </w:r>
    </w:p>
    <w:p w14:paraId="7254DEAE" w14:textId="298ED6B1" w:rsidR="00447B17" w:rsidRDefault="00447B17" w:rsidP="003A09D5">
      <w:pPr>
        <w:keepNext/>
        <w:jc w:val="center"/>
      </w:pPr>
      <w:r>
        <w:rPr>
          <w:noProof/>
        </w:rPr>
        <w:drawing>
          <wp:inline distT="0" distB="0" distL="0" distR="0" wp14:anchorId="789E7755" wp14:editId="0929F453">
            <wp:extent cx="2786380" cy="19945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6380" cy="1994535"/>
                    </a:xfrm>
                    <a:prstGeom prst="rect">
                      <a:avLst/>
                    </a:prstGeom>
                    <a:noFill/>
                    <a:ln>
                      <a:noFill/>
                    </a:ln>
                  </pic:spPr>
                </pic:pic>
              </a:graphicData>
            </a:graphic>
          </wp:inline>
        </w:drawing>
      </w:r>
    </w:p>
    <w:p w14:paraId="3CEF9B25" w14:textId="0C9BF1DA" w:rsidR="00447B17" w:rsidRDefault="00447B17" w:rsidP="003A09D5">
      <w:pPr>
        <w:pStyle w:val="Caption"/>
        <w:jc w:val="center"/>
        <w:rPr>
          <w:lang w:val="en-US"/>
        </w:rPr>
      </w:pPr>
      <w:bookmarkStart w:id="4" w:name="_Ref61265301"/>
      <w:r>
        <w:t xml:space="preserve">Figure </w:t>
      </w:r>
      <w:fldSimple w:instr=" SEQ Figure \* ARABIC ">
        <w:r>
          <w:rPr>
            <w:noProof/>
          </w:rPr>
          <w:t>2</w:t>
        </w:r>
      </w:fldSimple>
      <w:bookmarkEnd w:id="4"/>
      <w:r>
        <w:t xml:space="preserve"> Example of UE autonomous tracking of </w:t>
      </w:r>
      <w:proofErr w:type="spellStart"/>
      <w:r>
        <w:t>neighbor</w:t>
      </w:r>
      <w:proofErr w:type="spellEnd"/>
      <w:r>
        <w:t xml:space="preserve"> cell's SSB </w:t>
      </w:r>
      <w:r>
        <w:rPr>
          <w:noProof/>
        </w:rPr>
        <w:t>location within SMTC window.</w:t>
      </w:r>
    </w:p>
    <w:p w14:paraId="4F1F9D80" w14:textId="675B5031" w:rsidR="00447B17" w:rsidRDefault="00447B17" w:rsidP="003A09D5">
      <w:pPr>
        <w:jc w:val="both"/>
        <w:rPr>
          <w:b/>
          <w:bCs/>
          <w:lang w:val="en-US"/>
        </w:rPr>
      </w:pPr>
      <w:r w:rsidRPr="2A95B4D3">
        <w:rPr>
          <w:b/>
          <w:bCs/>
          <w:lang w:val="en-US"/>
        </w:rPr>
        <w:t xml:space="preserve">Proposal </w:t>
      </w:r>
      <w:r w:rsidR="73058494" w:rsidRPr="2A95B4D3">
        <w:rPr>
          <w:b/>
          <w:bCs/>
          <w:lang w:val="en-US"/>
        </w:rPr>
        <w:t>2</w:t>
      </w:r>
      <w:r w:rsidRPr="2A95B4D3">
        <w:rPr>
          <w:b/>
          <w:bCs/>
          <w:lang w:val="en-US"/>
        </w:rPr>
        <w:t>: UE can track the relative movement of neighbor cell’s SSB within the SMTC window and update the window/measurement gap when the time-wise movements exceed a threshold. The UE will inform the network about such SMTC/measurement gap configuration updates.</w:t>
      </w:r>
    </w:p>
    <w:p w14:paraId="6F9D37C7" w14:textId="367BD6C5" w:rsidR="00CF6FC5" w:rsidRDefault="00A80E84" w:rsidP="003A09D5">
      <w:pPr>
        <w:pStyle w:val="Heading2"/>
        <w:jc w:val="both"/>
        <w:rPr>
          <w:lang w:val="en-US"/>
        </w:rPr>
      </w:pPr>
      <w:r>
        <w:rPr>
          <w:lang w:val="en-US"/>
        </w:rPr>
        <w:t xml:space="preserve">3.2 </w:t>
      </w:r>
      <w:r w:rsidR="00447B17">
        <w:rPr>
          <w:lang w:val="en-US"/>
        </w:rPr>
        <w:t>Regarding UE assistance information for NW-based SMTC/measurement gap</w:t>
      </w:r>
    </w:p>
    <w:p w14:paraId="39C84340" w14:textId="25794C77" w:rsidR="00447B17" w:rsidRDefault="00447B17" w:rsidP="003A09D5">
      <w:pPr>
        <w:jc w:val="both"/>
      </w:pPr>
      <w:r>
        <w:t>The RAN2 #115 agreements include a</w:t>
      </w:r>
      <w:r w:rsidR="00272A80">
        <w:t>n</w:t>
      </w:r>
      <w:r>
        <w:t xml:space="preserve"> FFS on what assistance information the UE can provide to the NW to assist the NW </w:t>
      </w:r>
      <w:r w:rsidR="005A2A3B">
        <w:t xml:space="preserve">in </w:t>
      </w:r>
      <w:r>
        <w:t xml:space="preserve">calculating the proper configuration of SMTC window/measurement gaps. </w:t>
      </w:r>
    </w:p>
    <w:p w14:paraId="45360FCA" w14:textId="35205187" w:rsidR="00447B17" w:rsidRDefault="00447B17" w:rsidP="003A09D5">
      <w:pPr>
        <w:jc w:val="both"/>
      </w:pPr>
      <w:r>
        <w:t xml:space="preserve">One potential </w:t>
      </w:r>
      <w:r w:rsidR="00E1264B">
        <w:t>approach</w:t>
      </w:r>
      <w:r>
        <w:t xml:space="preserve"> is that the UE reports its location, as is also discussed for other purposes in RAN2. Furthermore, the network would need to be aware of the target cell ephemeris and feeder link delay, such that the delay from the target cell to the UE can be estimated. Since the satellite of the target cell will be constantly moving the network would need to issue (frequent) UE-specific updates of the SMTC window/measurement gap to ensure the target cell SSBs is received within the SMTC window. Therefore, the UE-based approach of autonomous tracking of target cell SSBs, discussed in the previous section, may be simpler.</w:t>
      </w:r>
    </w:p>
    <w:p w14:paraId="099BD1B2" w14:textId="3A1DD5C7" w:rsidR="00447B17" w:rsidRPr="00D34CDA" w:rsidRDefault="00447B17" w:rsidP="003A09D5">
      <w:pPr>
        <w:jc w:val="both"/>
        <w:rPr>
          <w:b/>
          <w:bCs/>
        </w:rPr>
      </w:pPr>
      <w:r w:rsidRPr="00A01338">
        <w:rPr>
          <w:b/>
          <w:bCs/>
        </w:rPr>
        <w:t>Observation</w:t>
      </w:r>
      <w:r w:rsidR="006B2C78">
        <w:rPr>
          <w:b/>
          <w:bCs/>
        </w:rPr>
        <w:t xml:space="preserve"> </w:t>
      </w:r>
      <w:r w:rsidR="00CF0DCE">
        <w:rPr>
          <w:b/>
          <w:bCs/>
        </w:rPr>
        <w:t>7</w:t>
      </w:r>
      <w:r>
        <w:rPr>
          <w:b/>
          <w:bCs/>
        </w:rPr>
        <w:t xml:space="preserve">: UE can report its location to assist network with SMTC window/measurement gap configuration, but </w:t>
      </w:r>
      <w:r w:rsidR="004B1688">
        <w:rPr>
          <w:b/>
          <w:bCs/>
        </w:rPr>
        <w:t>efficient</w:t>
      </w:r>
      <w:r w:rsidR="00FC0407">
        <w:rPr>
          <w:b/>
          <w:bCs/>
        </w:rPr>
        <w:t xml:space="preserve"> </w:t>
      </w:r>
      <w:r w:rsidR="007A03A2">
        <w:rPr>
          <w:b/>
          <w:bCs/>
        </w:rPr>
        <w:t>estimation of propagation delay</w:t>
      </w:r>
      <w:r>
        <w:rPr>
          <w:b/>
          <w:bCs/>
        </w:rPr>
        <w:t xml:space="preserve"> also requires </w:t>
      </w:r>
      <w:r w:rsidR="00CD526F">
        <w:rPr>
          <w:b/>
          <w:bCs/>
        </w:rPr>
        <w:t xml:space="preserve">additional </w:t>
      </w:r>
      <w:r>
        <w:rPr>
          <w:b/>
          <w:bCs/>
        </w:rPr>
        <w:t>knowledge about target cell ephemeris and feeder link delay.</w:t>
      </w:r>
    </w:p>
    <w:p w14:paraId="29775750" w14:textId="2B3CCAC9" w:rsidR="00DA7841" w:rsidRDefault="00A80E84" w:rsidP="003A09D5">
      <w:pPr>
        <w:pStyle w:val="Heading2"/>
        <w:jc w:val="both"/>
        <w:rPr>
          <w:lang w:val="en-US"/>
        </w:rPr>
      </w:pPr>
      <w:r>
        <w:rPr>
          <w:lang w:val="en-US"/>
        </w:rPr>
        <w:t xml:space="preserve">3.3 </w:t>
      </w:r>
      <w:r w:rsidR="00DA7841">
        <w:rPr>
          <w:lang w:val="en-US"/>
        </w:rPr>
        <w:t>Network assistance for RRM measurements</w:t>
      </w:r>
    </w:p>
    <w:p w14:paraId="4C9B751B" w14:textId="01A14A8B" w:rsidR="00DA7841" w:rsidRDefault="00DA7841" w:rsidP="003A09D5">
      <w:pPr>
        <w:jc w:val="both"/>
        <w:rPr>
          <w:lang w:val="en-US"/>
        </w:rPr>
      </w:pPr>
      <w:r>
        <w:rPr>
          <w:lang w:val="en-US"/>
        </w:rPr>
        <w:t xml:space="preserve">As discussed in section 2, the UE can perform pre-compensation when measuring a target cell. Such pre-compensation would rely on satellite ephemeris, which the UE can receive through system information. However, the UE would need to perform the pre-compensation prior to receiving the system information resulting in a chicken-and-egg problem. </w:t>
      </w:r>
    </w:p>
    <w:p w14:paraId="012B0D15" w14:textId="521C8ABF" w:rsidR="00CF702D" w:rsidRPr="00136BBC" w:rsidRDefault="00CF702D" w:rsidP="003A09D5">
      <w:pPr>
        <w:jc w:val="both"/>
        <w:rPr>
          <w:rFonts w:eastAsia="SimSun"/>
          <w:lang w:eastAsia="zh-CN"/>
        </w:rPr>
      </w:pPr>
      <w:r w:rsidRPr="008C616F">
        <w:rPr>
          <w:rFonts w:eastAsia="SimSun"/>
          <w:lang w:eastAsia="zh-CN"/>
        </w:rPr>
        <w:t xml:space="preserve">The multiple SMTC configurations would need to be </w:t>
      </w:r>
      <w:r>
        <w:rPr>
          <w:rFonts w:eastAsia="SimSun"/>
          <w:lang w:eastAsia="zh-CN"/>
        </w:rPr>
        <w:t xml:space="preserve">updated as UE-specific </w:t>
      </w:r>
      <w:proofErr w:type="spellStart"/>
      <w:r>
        <w:rPr>
          <w:rFonts w:eastAsia="SimSun"/>
          <w:lang w:eastAsia="zh-CN"/>
        </w:rPr>
        <w:t>signaling</w:t>
      </w:r>
      <w:proofErr w:type="spellEnd"/>
      <w:r>
        <w:rPr>
          <w:rFonts w:eastAsia="SimSun"/>
          <w:lang w:eastAsia="zh-CN"/>
        </w:rPr>
        <w:t xml:space="preserve">, and the number of updates depends also on the UE location relative to the footprint of the corresponding satellite-cells targeted. Considering the need for additional information such as validity time for each SMTC configuration, the </w:t>
      </w:r>
      <w:proofErr w:type="spellStart"/>
      <w:r>
        <w:rPr>
          <w:rFonts w:eastAsia="SimSun"/>
          <w:lang w:eastAsia="zh-CN"/>
        </w:rPr>
        <w:t>signaling</w:t>
      </w:r>
      <w:proofErr w:type="spellEnd"/>
      <w:r>
        <w:rPr>
          <w:rFonts w:eastAsia="SimSun"/>
          <w:lang w:eastAsia="zh-CN"/>
        </w:rPr>
        <w:t xml:space="preserve"> overhead needs to be carefully considered. In our understanding, providing such SMTC configurations in broadcast </w:t>
      </w:r>
      <w:proofErr w:type="spellStart"/>
      <w:r>
        <w:rPr>
          <w:rFonts w:eastAsia="SimSun"/>
          <w:lang w:eastAsia="zh-CN"/>
        </w:rPr>
        <w:t>signaling</w:t>
      </w:r>
      <w:proofErr w:type="spellEnd"/>
      <w:r>
        <w:rPr>
          <w:rFonts w:eastAsia="SimSun"/>
          <w:lang w:eastAsia="zh-CN"/>
        </w:rPr>
        <w:t xml:space="preserve"> (e.g. in NTN-specific SIB) is not a viable option, as it is not justified to assume the same configuration would apply to the entire cell’s coverage. Moreover, in the current specification SMTC is a part of UE-specific measurement configuration and such principle preferably shall be followed.</w:t>
      </w:r>
    </w:p>
    <w:p w14:paraId="23B56687" w14:textId="61042BD1" w:rsidR="00CF702D" w:rsidRPr="00A01338" w:rsidRDefault="00CF702D" w:rsidP="003A09D5">
      <w:pPr>
        <w:jc w:val="both"/>
        <w:rPr>
          <w:rFonts w:eastAsia="SimSun"/>
          <w:b/>
          <w:lang w:eastAsia="zh-CN"/>
        </w:rPr>
      </w:pPr>
      <w:r w:rsidRPr="00B31D3E">
        <w:rPr>
          <w:rFonts w:eastAsia="SimSun"/>
          <w:b/>
          <w:lang w:eastAsia="zh-CN"/>
        </w:rPr>
        <w:t xml:space="preserve">Observation </w:t>
      </w:r>
      <w:r w:rsidR="00CF0DCE">
        <w:rPr>
          <w:rFonts w:eastAsia="SimSun"/>
          <w:b/>
          <w:lang w:eastAsia="zh-CN"/>
        </w:rPr>
        <w:t>8</w:t>
      </w:r>
      <w:r w:rsidRPr="00B31D3E">
        <w:rPr>
          <w:rFonts w:eastAsia="SimSun"/>
          <w:b/>
          <w:lang w:eastAsia="zh-CN"/>
        </w:rPr>
        <w:t xml:space="preserve">: Broadcast signalling is not a viable solution for providing multiple SMTC configurations for NTN. </w:t>
      </w:r>
    </w:p>
    <w:p w14:paraId="3C7F93F9" w14:textId="729491FF" w:rsidR="00DA7841" w:rsidRDefault="00AA1DFF" w:rsidP="003A09D5">
      <w:pPr>
        <w:jc w:val="both"/>
        <w:rPr>
          <w:lang w:val="en-US"/>
        </w:rPr>
      </w:pPr>
      <w:r>
        <w:rPr>
          <w:lang w:val="en-US"/>
        </w:rPr>
        <w:t>Regarding the ephemeris, o</w:t>
      </w:r>
      <w:r w:rsidR="00DA7841">
        <w:rPr>
          <w:lang w:val="en-US"/>
        </w:rPr>
        <w:t xml:space="preserve">ne potential </w:t>
      </w:r>
      <w:r w:rsidR="006839A5">
        <w:rPr>
          <w:lang w:val="en-US"/>
        </w:rPr>
        <w:t>approach</w:t>
      </w:r>
      <w:r w:rsidR="00DA7841">
        <w:rPr>
          <w:lang w:val="en-US"/>
        </w:rPr>
        <w:t>, which has also been discussed</w:t>
      </w:r>
      <w:r w:rsidR="00754915">
        <w:rPr>
          <w:lang w:val="en-US"/>
        </w:rPr>
        <w:t xml:space="preserve"> in RAN2</w:t>
      </w:r>
      <w:r w:rsidR="00DA7841">
        <w:rPr>
          <w:lang w:val="en-US"/>
        </w:rPr>
        <w:t xml:space="preserve"> , is that the serving cell provides ephemeris for the target cell(s). However, if the UE is expected to measure more than one target cell it may involve a significant signaling overhead for the serving cell to provide multiple ephemeris sets.</w:t>
      </w:r>
    </w:p>
    <w:p w14:paraId="31B4733E" w14:textId="5F4BBF79" w:rsidR="00DA7841" w:rsidRPr="00A01338" w:rsidRDefault="00DA7841" w:rsidP="003A09D5">
      <w:pPr>
        <w:jc w:val="both"/>
        <w:rPr>
          <w:b/>
          <w:bCs/>
          <w:lang w:val="en-US"/>
        </w:rPr>
      </w:pPr>
      <w:r w:rsidRPr="00A01338">
        <w:rPr>
          <w:b/>
          <w:bCs/>
          <w:lang w:val="en-US"/>
        </w:rPr>
        <w:t>Observation</w:t>
      </w:r>
      <w:r>
        <w:rPr>
          <w:b/>
          <w:bCs/>
          <w:lang w:val="en-US"/>
        </w:rPr>
        <w:t xml:space="preserve"> </w:t>
      </w:r>
      <w:r w:rsidR="00CF0DCE">
        <w:rPr>
          <w:b/>
          <w:bCs/>
          <w:lang w:val="en-US"/>
        </w:rPr>
        <w:t>9</w:t>
      </w:r>
      <w:r w:rsidRPr="00A01338">
        <w:rPr>
          <w:b/>
          <w:bCs/>
          <w:lang w:val="en-US"/>
        </w:rPr>
        <w:t>:</w:t>
      </w:r>
      <w:r>
        <w:rPr>
          <w:b/>
          <w:bCs/>
          <w:lang w:val="en-US"/>
        </w:rPr>
        <w:t xml:space="preserve"> Providing network assistance information in terms of target cell ephemeris may lead to high signaling overhead.</w:t>
      </w:r>
    </w:p>
    <w:p w14:paraId="3C7E87AD" w14:textId="48B1D202" w:rsidR="00DA7841" w:rsidRDefault="000A2B0B" w:rsidP="003A09D5">
      <w:pPr>
        <w:jc w:val="both"/>
        <w:rPr>
          <w:lang w:val="en-US"/>
        </w:rPr>
      </w:pPr>
      <w:r>
        <w:rPr>
          <w:lang w:val="en-US"/>
        </w:rPr>
        <w:lastRenderedPageBreak/>
        <w:t xml:space="preserve">It </w:t>
      </w:r>
      <w:r w:rsidR="00DA7841">
        <w:rPr>
          <w:lang w:val="en-US"/>
        </w:rPr>
        <w:t>could be</w:t>
      </w:r>
      <w:r>
        <w:rPr>
          <w:lang w:val="en-US"/>
        </w:rPr>
        <w:t xml:space="preserve"> considered</w:t>
      </w:r>
      <w:r w:rsidR="00DA7841">
        <w:rPr>
          <w:lang w:val="en-US"/>
        </w:rPr>
        <w:t xml:space="preserve"> that the serving cell can indicate whether the target cell is an intra-satellite neighbor, an inter-satellite neighbor on the same orbit, or an inter-satellite neighbor on a different orbit.</w:t>
      </w:r>
    </w:p>
    <w:p w14:paraId="49EFB8D9" w14:textId="0CC07B04" w:rsidR="00DA7841" w:rsidRDefault="00DA7841" w:rsidP="003A09D5">
      <w:pPr>
        <w:jc w:val="both"/>
        <w:rPr>
          <w:lang w:val="en-US"/>
        </w:rPr>
      </w:pPr>
      <w:r>
        <w:rPr>
          <w:lang w:val="en-US"/>
        </w:rPr>
        <w:t>In the first case (intra-satellite neighbor), the UE can simply reuse the ephemeris of the serving cell and in principle the current pre-compensation will be valid.</w:t>
      </w:r>
    </w:p>
    <w:p w14:paraId="4F3C05BE" w14:textId="2B02D9B2" w:rsidR="00DA7841" w:rsidRDefault="00DA7841" w:rsidP="003A09D5">
      <w:pPr>
        <w:jc w:val="both"/>
        <w:rPr>
          <w:lang w:val="en-US"/>
        </w:rPr>
      </w:pPr>
      <w:r>
        <w:rPr>
          <w:lang w:val="en-US"/>
        </w:rPr>
        <w:t>For the second case (inter-satellite neighbor on the same orbit), the network could inform the UE to reuse the ephemeris, but offset it in time or otherwise modify it such that it corresponds to the location of the target satellite. This would also involve less signaling overhead than sharing full target satellite ephemeris.</w:t>
      </w:r>
    </w:p>
    <w:p w14:paraId="276658BC" w14:textId="6558B7E2" w:rsidR="00DA7841" w:rsidRDefault="00DA7841" w:rsidP="003A09D5">
      <w:pPr>
        <w:jc w:val="both"/>
        <w:rPr>
          <w:lang w:val="en-US"/>
        </w:rPr>
      </w:pPr>
      <w:r>
        <w:rPr>
          <w:lang w:val="en-US"/>
        </w:rPr>
        <w:t>For the last case, the UE would need to receive the ephemeris of the inter-satellite neighbors being on a different orbit.</w:t>
      </w:r>
    </w:p>
    <w:p w14:paraId="17933DCF" w14:textId="772F806E" w:rsidR="00DA7841" w:rsidRPr="00A01338" w:rsidRDefault="004F62DC" w:rsidP="003A09D5">
      <w:pPr>
        <w:jc w:val="both"/>
        <w:rPr>
          <w:b/>
          <w:bCs/>
          <w:lang w:val="en-US"/>
        </w:rPr>
      </w:pPr>
      <w:r>
        <w:rPr>
          <w:b/>
          <w:bCs/>
          <w:lang w:val="en-US"/>
        </w:rPr>
        <w:t>Proposal 2</w:t>
      </w:r>
      <w:r w:rsidR="00DA7841">
        <w:rPr>
          <w:b/>
          <w:bCs/>
          <w:lang w:val="en-US"/>
        </w:rPr>
        <w:t xml:space="preserve">: </w:t>
      </w:r>
      <w:r>
        <w:rPr>
          <w:b/>
          <w:bCs/>
          <w:lang w:val="en-US"/>
        </w:rPr>
        <w:t>S</w:t>
      </w:r>
      <w:r w:rsidR="00DA7841">
        <w:rPr>
          <w:b/>
          <w:bCs/>
          <w:lang w:val="en-US"/>
        </w:rPr>
        <w:t xml:space="preserve">erving cell ephemeris </w:t>
      </w:r>
      <w:r>
        <w:rPr>
          <w:b/>
          <w:bCs/>
          <w:lang w:val="en-US"/>
        </w:rPr>
        <w:t>is used as a reference</w:t>
      </w:r>
      <w:r w:rsidR="00DA7841">
        <w:rPr>
          <w:b/>
          <w:bCs/>
          <w:lang w:val="en-US"/>
        </w:rPr>
        <w:t xml:space="preserve"> for </w:t>
      </w:r>
      <w:r>
        <w:rPr>
          <w:b/>
          <w:bCs/>
          <w:lang w:val="en-US"/>
        </w:rPr>
        <w:t xml:space="preserve">deriving the </w:t>
      </w:r>
      <w:r w:rsidR="00DA7841">
        <w:rPr>
          <w:b/>
          <w:bCs/>
          <w:lang w:val="en-US"/>
        </w:rPr>
        <w:t>target cell ephemeris</w:t>
      </w:r>
      <w:r w:rsidR="00791969">
        <w:rPr>
          <w:b/>
          <w:bCs/>
          <w:lang w:val="en-US"/>
        </w:rPr>
        <w:t>, e.g. by reusing it directly or applying an individual offset.</w:t>
      </w:r>
      <w:r w:rsidR="00DA7841">
        <w:rPr>
          <w:b/>
          <w:bCs/>
          <w:lang w:val="en-US"/>
        </w:rPr>
        <w:t xml:space="preserve"> </w:t>
      </w:r>
    </w:p>
    <w:p w14:paraId="64258C75" w14:textId="17987224" w:rsidR="00E52E5C" w:rsidRDefault="0073191A" w:rsidP="003A09D5">
      <w:pPr>
        <w:pStyle w:val="Heading2"/>
        <w:jc w:val="both"/>
        <w:rPr>
          <w:lang w:val="en-US"/>
        </w:rPr>
      </w:pPr>
      <w:r w:rsidRPr="00B31D3E">
        <w:rPr>
          <w:lang w:val="en-US"/>
        </w:rPr>
        <w:t>3.</w:t>
      </w:r>
      <w:r w:rsidR="00A80E84">
        <w:rPr>
          <w:lang w:val="en-US"/>
        </w:rPr>
        <w:t>4</w:t>
      </w:r>
      <w:r>
        <w:rPr>
          <w:lang w:val="en-US"/>
        </w:rPr>
        <w:tab/>
      </w:r>
      <w:r w:rsidR="00AA1DFF">
        <w:rPr>
          <w:lang w:val="en-US"/>
        </w:rPr>
        <w:t>Feeder Link delay component</w:t>
      </w:r>
    </w:p>
    <w:p w14:paraId="6C11EA9C" w14:textId="761CA58F" w:rsidR="00E3697A" w:rsidRDefault="00FC5682" w:rsidP="003A09D5">
      <w:pPr>
        <w:jc w:val="both"/>
        <w:rPr>
          <w:rFonts w:eastAsia="SimSun"/>
          <w:lang w:eastAsia="zh-CN"/>
        </w:rPr>
      </w:pPr>
      <w:r w:rsidRPr="008C616F">
        <w:rPr>
          <w:rFonts w:eastAsia="SimSun"/>
          <w:lang w:eastAsia="zh-CN"/>
        </w:rPr>
        <w:t>SMTCs for different neighbour cells need to co</w:t>
      </w:r>
      <w:r>
        <w:rPr>
          <w:rFonts w:eastAsia="SimSun"/>
          <w:lang w:eastAsia="zh-CN"/>
        </w:rPr>
        <w:t>nsider not only the service link delay, but also a component related to feeder link (FL). This aspect has been neglected at RAN2</w:t>
      </w:r>
      <w:r w:rsidRPr="00FC5682">
        <w:rPr>
          <w:rFonts w:eastAsia="SimSun"/>
          <w:lang w:eastAsia="zh-CN"/>
        </w:rPr>
        <w:t>#1</w:t>
      </w:r>
      <w:r>
        <w:rPr>
          <w:rFonts w:eastAsia="SimSun"/>
          <w:lang w:eastAsia="zh-CN"/>
        </w:rPr>
        <w:t>13bis</w:t>
      </w:r>
      <w:r w:rsidR="00AA1DFF">
        <w:rPr>
          <w:rFonts w:eastAsia="SimSun"/>
          <w:lang w:eastAsia="zh-CN"/>
        </w:rPr>
        <w:t xml:space="preserve"> as well as at the subsequent meetings</w:t>
      </w:r>
      <w:r>
        <w:rPr>
          <w:rFonts w:eastAsia="SimSun"/>
          <w:lang w:eastAsia="zh-CN"/>
        </w:rPr>
        <w:t>, while in our understanding it may play an important role in setting appropriate parameters within SMTC (as shown in Figure 1 and Table 1 above).</w:t>
      </w:r>
      <w:r w:rsidR="00AA04AE">
        <w:rPr>
          <w:rFonts w:eastAsia="SimSun"/>
          <w:lang w:eastAsia="zh-CN"/>
        </w:rPr>
        <w:t xml:space="preserve"> Thus, we</w:t>
      </w:r>
      <w:r w:rsidR="00C00608">
        <w:rPr>
          <w:rFonts w:eastAsia="SimSun"/>
          <w:lang w:eastAsia="zh-CN"/>
        </w:rPr>
        <w:t xml:space="preserve"> kindly ask the companies to either consider it at RAN2#116 or formally agree th</w:t>
      </w:r>
      <w:r w:rsidR="00A52BE9">
        <w:rPr>
          <w:rFonts w:eastAsia="SimSun"/>
          <w:lang w:eastAsia="zh-CN"/>
        </w:rPr>
        <w:t>e FL-related delay component is not addressed in NTN Rel-17</w:t>
      </w:r>
      <w:r w:rsidR="00C00608">
        <w:rPr>
          <w:rFonts w:eastAsia="SimSun"/>
          <w:lang w:eastAsia="zh-CN"/>
        </w:rPr>
        <w:t xml:space="preserve"> </w:t>
      </w:r>
    </w:p>
    <w:p w14:paraId="475E522E" w14:textId="1035A1E6" w:rsidR="00914880" w:rsidRPr="00914880" w:rsidRDefault="00FC5682" w:rsidP="003A09D5">
      <w:pPr>
        <w:jc w:val="both"/>
      </w:pPr>
      <w:r w:rsidRPr="00B31D3E">
        <w:rPr>
          <w:rFonts w:eastAsia="SimSun"/>
          <w:b/>
          <w:lang w:eastAsia="zh-CN"/>
        </w:rPr>
        <w:t xml:space="preserve">Proposal </w:t>
      </w:r>
      <w:r w:rsidR="00E34503">
        <w:rPr>
          <w:rFonts w:eastAsia="SimSun"/>
          <w:b/>
          <w:lang w:eastAsia="zh-CN"/>
        </w:rPr>
        <w:t>3</w:t>
      </w:r>
      <w:r w:rsidRPr="00B31D3E">
        <w:rPr>
          <w:rFonts w:eastAsia="SimSun"/>
          <w:b/>
          <w:lang w:eastAsia="zh-CN"/>
        </w:rPr>
        <w:t>: RAN2 is asked to study how to incorporate the feeder link delay component in setting the SMTC for neighbouring cells/satellites.</w:t>
      </w:r>
      <w:r w:rsidR="00E34503">
        <w:rPr>
          <w:rFonts w:eastAsia="SimSun"/>
          <w:b/>
          <w:lang w:eastAsia="zh-CN"/>
        </w:rPr>
        <w:t xml:space="preserve"> If this is not addressed the delay compensation in NTN Rel-17 may be inaccurate.</w:t>
      </w:r>
    </w:p>
    <w:p w14:paraId="5FF2457F" w14:textId="6A7BFAA2" w:rsidR="00A209D6" w:rsidRPr="006E13D1" w:rsidRDefault="00F310CB" w:rsidP="003A09D5">
      <w:pPr>
        <w:pStyle w:val="Heading1"/>
        <w:jc w:val="both"/>
      </w:pPr>
      <w:r>
        <w:t>4</w:t>
      </w:r>
      <w:r w:rsidR="00A209D6" w:rsidRPr="006E13D1">
        <w:tab/>
      </w:r>
      <w:r w:rsidR="008C3057">
        <w:t>Conclusion</w:t>
      </w:r>
    </w:p>
    <w:p w14:paraId="6C60FFDC" w14:textId="65B6DDC4" w:rsidR="00A209D6" w:rsidRDefault="006205EF" w:rsidP="003A09D5">
      <w:pPr>
        <w:jc w:val="both"/>
      </w:pPr>
      <w:r>
        <w:t>The following observations and proposals have been made:</w:t>
      </w:r>
    </w:p>
    <w:p w14:paraId="6DBDBD34" w14:textId="77777777" w:rsidR="001B77E8" w:rsidRPr="00A01338" w:rsidRDefault="001B77E8" w:rsidP="003A09D5">
      <w:pPr>
        <w:jc w:val="both"/>
        <w:rPr>
          <w:b/>
          <w:bCs/>
          <w:lang w:val="en-US"/>
        </w:rPr>
      </w:pPr>
      <w:r>
        <w:rPr>
          <w:b/>
          <w:bCs/>
          <w:lang w:val="en-US"/>
        </w:rPr>
        <w:t>Observation 1: In NTN the UE may require measurement gaps to perform inter-satellite measurements.</w:t>
      </w:r>
    </w:p>
    <w:p w14:paraId="4506DF4C" w14:textId="77777777" w:rsidR="001B77E8" w:rsidRPr="00A01338" w:rsidRDefault="001B77E8" w:rsidP="003A09D5">
      <w:pPr>
        <w:jc w:val="both"/>
        <w:rPr>
          <w:b/>
          <w:bCs/>
          <w:lang w:val="en-US"/>
        </w:rPr>
      </w:pPr>
      <w:r>
        <w:rPr>
          <w:b/>
          <w:bCs/>
          <w:lang w:val="en-US"/>
        </w:rPr>
        <w:t>Observation 2: In NTN it may be challenging for a UE to utilize the longest SMTC window within a measurement gap.</w:t>
      </w:r>
    </w:p>
    <w:p w14:paraId="0160694A" w14:textId="77777777" w:rsidR="00125346" w:rsidRPr="00A01338" w:rsidRDefault="00125346" w:rsidP="003A09D5">
      <w:pPr>
        <w:jc w:val="both"/>
        <w:rPr>
          <w:b/>
          <w:bCs/>
          <w:lang w:val="en-US"/>
        </w:rPr>
      </w:pPr>
      <w:r>
        <w:rPr>
          <w:b/>
          <w:bCs/>
          <w:lang w:val="en-US"/>
        </w:rPr>
        <w:t>Observation 3: If four SMTC windows with corresponding measurement gaps are utilized, the scheduling will be severely restricted.</w:t>
      </w:r>
    </w:p>
    <w:p w14:paraId="16429375" w14:textId="77777777" w:rsidR="00125346" w:rsidRDefault="00125346" w:rsidP="003A09D5">
      <w:pPr>
        <w:jc w:val="both"/>
        <w:rPr>
          <w:highlight w:val="yellow"/>
          <w:lang w:val="en-US"/>
        </w:rPr>
      </w:pPr>
      <w:r w:rsidRPr="2A95B4D3">
        <w:rPr>
          <w:b/>
          <w:bCs/>
          <w:lang w:val="en-US"/>
        </w:rPr>
        <w:t>Observation 4: Serving cell and target cell might not be necessarily time- and frame-synchronized when belonging to different satellites. The resulting time offset in SSB transmission between different cells needs to be considered as well for SMTC window and gap configuration towards the UE.</w:t>
      </w:r>
    </w:p>
    <w:p w14:paraId="40A51E61" w14:textId="77777777" w:rsidR="00125346" w:rsidRDefault="00125346" w:rsidP="003A09D5">
      <w:pPr>
        <w:jc w:val="both"/>
        <w:rPr>
          <w:color w:val="000000" w:themeColor="text1"/>
          <w:lang w:val="en-US"/>
        </w:rPr>
      </w:pPr>
      <w:r w:rsidRPr="2A95B4D3">
        <w:rPr>
          <w:b/>
          <w:bCs/>
          <w:color w:val="000000" w:themeColor="text1"/>
        </w:rPr>
        <w:t>Observation 5: A UE can benefit by having acquired time and frequency synchronization information about neighbouring cells through the serving cell, when trying to access a target cell.</w:t>
      </w:r>
    </w:p>
    <w:p w14:paraId="1125E2EE" w14:textId="77777777" w:rsidR="00125346" w:rsidRDefault="00125346" w:rsidP="003A09D5">
      <w:pPr>
        <w:jc w:val="both"/>
        <w:rPr>
          <w:color w:val="000000" w:themeColor="text1"/>
          <w:lang w:val="en-US"/>
        </w:rPr>
      </w:pPr>
      <w:r w:rsidRPr="2A95B4D3">
        <w:rPr>
          <w:b/>
          <w:bCs/>
          <w:color w:val="000000" w:themeColor="text1"/>
        </w:rPr>
        <w:t xml:space="preserve">Proposal 1: RAN2 to discuss whether time/frequency synchronization information about the neighbouring cells should be provided by the serving cell to assist UEs to access a target </w:t>
      </w:r>
      <w:proofErr w:type="spellStart"/>
      <w:r w:rsidRPr="2A95B4D3">
        <w:rPr>
          <w:b/>
          <w:bCs/>
          <w:color w:val="000000" w:themeColor="text1"/>
        </w:rPr>
        <w:t>neighboring</w:t>
      </w:r>
      <w:proofErr w:type="spellEnd"/>
      <w:r w:rsidRPr="2A95B4D3">
        <w:rPr>
          <w:b/>
          <w:bCs/>
          <w:color w:val="000000" w:themeColor="text1"/>
        </w:rPr>
        <w:t xml:space="preserve"> cell.</w:t>
      </w:r>
    </w:p>
    <w:p w14:paraId="53324FD8" w14:textId="77777777" w:rsidR="00CF0DCE" w:rsidRPr="006409F1" w:rsidRDefault="00CF0DCE" w:rsidP="003A09D5">
      <w:pPr>
        <w:jc w:val="both"/>
        <w:rPr>
          <w:b/>
          <w:bCs/>
        </w:rPr>
      </w:pPr>
      <w:r w:rsidRPr="006409F1">
        <w:rPr>
          <w:b/>
          <w:bCs/>
        </w:rPr>
        <w:t xml:space="preserve">Observation </w:t>
      </w:r>
      <w:r>
        <w:rPr>
          <w:b/>
          <w:bCs/>
        </w:rPr>
        <w:t>6</w:t>
      </w:r>
      <w:r w:rsidRPr="006409F1">
        <w:rPr>
          <w:b/>
          <w:bCs/>
        </w:rPr>
        <w:t>: NW-based SMTC solution is not flexible, may require frequent reconfigurations and measurement gap per each SMTC configuration.</w:t>
      </w:r>
    </w:p>
    <w:p w14:paraId="17E5902B" w14:textId="77777777" w:rsidR="00CF0DCE" w:rsidRDefault="00CF0DCE" w:rsidP="003A09D5">
      <w:pPr>
        <w:jc w:val="both"/>
        <w:rPr>
          <w:b/>
          <w:bCs/>
          <w:lang w:val="en-US"/>
        </w:rPr>
      </w:pPr>
      <w:r w:rsidRPr="2A95B4D3">
        <w:rPr>
          <w:b/>
          <w:bCs/>
          <w:lang w:val="en-US"/>
        </w:rPr>
        <w:t>Proposal 2: UE can track the relative movement of neighbor cell’s SSB within the SMTC window and update the window/measurement gap when the time-wise movements exceed a threshold. The UE will inform the network about such SMTC/measurement gap configuration updates.</w:t>
      </w:r>
    </w:p>
    <w:p w14:paraId="78C03E5A" w14:textId="77777777" w:rsidR="00CF0DCE" w:rsidRPr="00D34CDA" w:rsidRDefault="00CF0DCE" w:rsidP="003A09D5">
      <w:pPr>
        <w:jc w:val="both"/>
        <w:rPr>
          <w:b/>
          <w:bCs/>
        </w:rPr>
      </w:pPr>
      <w:r w:rsidRPr="00A01338">
        <w:rPr>
          <w:b/>
          <w:bCs/>
        </w:rPr>
        <w:t>Observation</w:t>
      </w:r>
      <w:r>
        <w:rPr>
          <w:b/>
          <w:bCs/>
        </w:rPr>
        <w:t xml:space="preserve"> 7: UE can report its location to assist network with SMTC window/measurement gap configuration, but efficient estimation of propagation delay also requires additional knowledge about target cell ephemeris and feeder link delay.</w:t>
      </w:r>
    </w:p>
    <w:p w14:paraId="60350B94" w14:textId="11EE6E03" w:rsidR="00CF0DCE" w:rsidRDefault="00CF0DCE" w:rsidP="003A09D5">
      <w:pPr>
        <w:jc w:val="both"/>
        <w:rPr>
          <w:rFonts w:eastAsia="SimSun"/>
          <w:b/>
          <w:lang w:eastAsia="zh-CN"/>
        </w:rPr>
      </w:pPr>
      <w:r w:rsidRPr="00B31D3E">
        <w:rPr>
          <w:rFonts w:eastAsia="SimSun"/>
          <w:b/>
          <w:lang w:eastAsia="zh-CN"/>
        </w:rPr>
        <w:t xml:space="preserve">Observation </w:t>
      </w:r>
      <w:r>
        <w:rPr>
          <w:rFonts w:eastAsia="SimSun"/>
          <w:b/>
          <w:lang w:eastAsia="zh-CN"/>
        </w:rPr>
        <w:t>8</w:t>
      </w:r>
      <w:r w:rsidRPr="00B31D3E">
        <w:rPr>
          <w:rFonts w:eastAsia="SimSun"/>
          <w:b/>
          <w:lang w:eastAsia="zh-CN"/>
        </w:rPr>
        <w:t xml:space="preserve">: Broadcast signalling is not a viable solution for providing multiple SMTC configurations for NTN. </w:t>
      </w:r>
    </w:p>
    <w:p w14:paraId="1195A5BA" w14:textId="77777777" w:rsidR="00CF0DCE" w:rsidRPr="00A01338" w:rsidRDefault="00CF0DCE" w:rsidP="003A09D5">
      <w:pPr>
        <w:jc w:val="both"/>
        <w:rPr>
          <w:b/>
          <w:bCs/>
          <w:lang w:val="en-US"/>
        </w:rPr>
      </w:pPr>
      <w:r w:rsidRPr="00A01338">
        <w:rPr>
          <w:b/>
          <w:bCs/>
          <w:lang w:val="en-US"/>
        </w:rPr>
        <w:t>Observation</w:t>
      </w:r>
      <w:r>
        <w:rPr>
          <w:b/>
          <w:bCs/>
          <w:lang w:val="en-US"/>
        </w:rPr>
        <w:t xml:space="preserve"> 9</w:t>
      </w:r>
      <w:r w:rsidRPr="00A01338">
        <w:rPr>
          <w:b/>
          <w:bCs/>
          <w:lang w:val="en-US"/>
        </w:rPr>
        <w:t>:</w:t>
      </w:r>
      <w:r>
        <w:rPr>
          <w:b/>
          <w:bCs/>
          <w:lang w:val="en-US"/>
        </w:rPr>
        <w:t xml:space="preserve"> Providing network assistance information in terms of target cell ephemeris may lead to high signaling overhead.</w:t>
      </w:r>
    </w:p>
    <w:p w14:paraId="65EA46A2" w14:textId="77777777" w:rsidR="00CF0DCE" w:rsidRPr="00A01338" w:rsidRDefault="00CF0DCE" w:rsidP="003A09D5">
      <w:pPr>
        <w:jc w:val="both"/>
        <w:rPr>
          <w:b/>
          <w:bCs/>
          <w:lang w:val="en-US"/>
        </w:rPr>
      </w:pPr>
      <w:r>
        <w:rPr>
          <w:b/>
          <w:bCs/>
          <w:lang w:val="en-US"/>
        </w:rPr>
        <w:lastRenderedPageBreak/>
        <w:t xml:space="preserve">Proposal 2: Serving cell ephemeris is used as a reference for deriving the target cell ephemeris, e.g. by reusing it directly or applying an individual offset. </w:t>
      </w:r>
    </w:p>
    <w:p w14:paraId="30088235" w14:textId="77777777" w:rsidR="00CF0DCE" w:rsidRPr="00914880" w:rsidRDefault="00CF0DCE" w:rsidP="003A09D5">
      <w:pPr>
        <w:jc w:val="both"/>
      </w:pPr>
      <w:r w:rsidRPr="00B31D3E">
        <w:rPr>
          <w:rFonts w:eastAsia="SimSun"/>
          <w:b/>
          <w:lang w:eastAsia="zh-CN"/>
        </w:rPr>
        <w:t xml:space="preserve">Proposal </w:t>
      </w:r>
      <w:r>
        <w:rPr>
          <w:rFonts w:eastAsia="SimSun"/>
          <w:b/>
          <w:lang w:eastAsia="zh-CN"/>
        </w:rPr>
        <w:t>3</w:t>
      </w:r>
      <w:r w:rsidRPr="00B31D3E">
        <w:rPr>
          <w:rFonts w:eastAsia="SimSun"/>
          <w:b/>
          <w:lang w:eastAsia="zh-CN"/>
        </w:rPr>
        <w:t>: RAN2 is asked to study how to incorporate the feeder link delay component in setting the SMTC for neighbouring cells/satellites.</w:t>
      </w:r>
      <w:r>
        <w:rPr>
          <w:rFonts w:eastAsia="SimSun"/>
          <w:b/>
          <w:lang w:eastAsia="zh-CN"/>
        </w:rPr>
        <w:t xml:space="preserve"> If this is not addressed the delay compensation in NTN Rel-17 may be inaccurate.</w:t>
      </w:r>
    </w:p>
    <w:p w14:paraId="6925FB2C" w14:textId="28DF33F6" w:rsidR="00B26C06" w:rsidRDefault="00B26C06" w:rsidP="003A09D5">
      <w:pPr>
        <w:pStyle w:val="Heading1"/>
        <w:jc w:val="both"/>
      </w:pPr>
      <w:r>
        <w:t>References</w:t>
      </w:r>
    </w:p>
    <w:p w14:paraId="5251FCE0" w14:textId="2FCAE95D" w:rsidR="00B26C06" w:rsidRPr="00B606A1" w:rsidRDefault="00B26C06" w:rsidP="003A09D5">
      <w:pPr>
        <w:pStyle w:val="ListParagraph"/>
        <w:numPr>
          <w:ilvl w:val="0"/>
          <w:numId w:val="9"/>
        </w:numPr>
        <w:jc w:val="both"/>
        <w:rPr>
          <w:rFonts w:ascii="Times New Roman" w:hAnsi="Times New Roman"/>
        </w:rPr>
      </w:pPr>
      <w:bookmarkStart w:id="5" w:name="_Ref59022218"/>
      <w:r w:rsidRPr="00B606A1">
        <w:rPr>
          <w:rFonts w:ascii="Times New Roman" w:hAnsi="Times New Roman"/>
        </w:rPr>
        <w:t>Thales, “Solutions for NR to support non-terrestrial networks (NTN)”, RP-202908</w:t>
      </w:r>
      <w:bookmarkEnd w:id="5"/>
    </w:p>
    <w:p w14:paraId="1CC635C4" w14:textId="7C4FE55E" w:rsidR="00F106ED" w:rsidRPr="00B606A1" w:rsidRDefault="00F106ED" w:rsidP="003A09D5">
      <w:pPr>
        <w:pStyle w:val="ListParagraph"/>
        <w:numPr>
          <w:ilvl w:val="0"/>
          <w:numId w:val="9"/>
        </w:numPr>
        <w:jc w:val="both"/>
        <w:rPr>
          <w:rFonts w:ascii="Times New Roman" w:hAnsi="Times New Roman"/>
        </w:rPr>
      </w:pPr>
      <w:bookmarkStart w:id="6" w:name="_Ref59025640"/>
      <w:r w:rsidRPr="00B606A1">
        <w:rPr>
          <w:rFonts w:ascii="Times New Roman" w:hAnsi="Times New Roman"/>
        </w:rPr>
        <w:t xml:space="preserve">3GPP, “Solutions for NR to support non-terrestrial networks”, TR 38.821 </w:t>
      </w:r>
      <w:bookmarkEnd w:id="6"/>
    </w:p>
    <w:p w14:paraId="1EF927A0" w14:textId="3FFD3713" w:rsidR="00066150" w:rsidRPr="00B606A1" w:rsidRDefault="00066150" w:rsidP="003A09D5">
      <w:pPr>
        <w:pStyle w:val="ListParagraph"/>
        <w:numPr>
          <w:ilvl w:val="0"/>
          <w:numId w:val="9"/>
        </w:numPr>
        <w:jc w:val="both"/>
        <w:rPr>
          <w:rFonts w:ascii="Times New Roman" w:hAnsi="Times New Roman"/>
        </w:rPr>
      </w:pPr>
      <w:bookmarkStart w:id="7" w:name="_Ref59089868"/>
      <w:r w:rsidRPr="00B606A1">
        <w:rPr>
          <w:rFonts w:ascii="Times New Roman" w:hAnsi="Times New Roman"/>
        </w:rPr>
        <w:t xml:space="preserve">3GPP, “Requirements for support of radio resource management”, TS 38.133 </w:t>
      </w:r>
      <w:bookmarkEnd w:id="7"/>
    </w:p>
    <w:p w14:paraId="35F222F4" w14:textId="4E28CCE8" w:rsidR="00080512" w:rsidRPr="009A4BBA" w:rsidRDefault="00066150" w:rsidP="003A09D5">
      <w:pPr>
        <w:pStyle w:val="ListParagraph"/>
        <w:numPr>
          <w:ilvl w:val="0"/>
          <w:numId w:val="9"/>
        </w:numPr>
        <w:jc w:val="both"/>
      </w:pPr>
      <w:bookmarkStart w:id="8" w:name="_Ref59089877"/>
      <w:r w:rsidRPr="00B606A1">
        <w:rPr>
          <w:rFonts w:ascii="Times New Roman" w:hAnsi="Times New Roman"/>
        </w:rPr>
        <w:t xml:space="preserve">3GPP, “Radio Resource Control (RRC) protocol specification”, TS 38.331 </w:t>
      </w:r>
      <w:bookmarkEnd w:id="8"/>
    </w:p>
    <w:p w14:paraId="474CA65C" w14:textId="46DCA625" w:rsidR="00AC108F" w:rsidRPr="009F1436" w:rsidRDefault="00C84697" w:rsidP="003A09D5">
      <w:pPr>
        <w:pStyle w:val="ListParagraph"/>
        <w:numPr>
          <w:ilvl w:val="0"/>
          <w:numId w:val="9"/>
        </w:numPr>
        <w:jc w:val="both"/>
        <w:rPr>
          <w:rFonts w:ascii="Times New Roman" w:hAnsi="Times New Roman"/>
        </w:rPr>
      </w:pPr>
      <w:bookmarkStart w:id="9" w:name="_Ref67476784"/>
      <w:r>
        <w:rPr>
          <w:rFonts w:ascii="Times New Roman" w:hAnsi="Times New Roman"/>
        </w:rPr>
        <w:t xml:space="preserve">Intel, </w:t>
      </w:r>
      <w:r w:rsidR="00AC108F" w:rsidRPr="00633BB6">
        <w:rPr>
          <w:rFonts w:ascii="Times New Roman" w:hAnsi="Times New Roman"/>
        </w:rPr>
        <w:t xml:space="preserve">“Report of [post113-e][108][NTN] SMTC and measurement gap”, </w:t>
      </w:r>
      <w:r w:rsidR="00AC108F" w:rsidRPr="00D9227D">
        <w:rPr>
          <w:rFonts w:ascii="Times New Roman" w:hAnsi="Times New Roman"/>
        </w:rPr>
        <w:t>R2-21</w:t>
      </w:r>
      <w:r w:rsidR="00A265A8">
        <w:rPr>
          <w:rFonts w:ascii="Times New Roman" w:hAnsi="Times New Roman"/>
        </w:rPr>
        <w:t>02866</w:t>
      </w:r>
      <w:bookmarkEnd w:id="9"/>
      <w:r w:rsidR="009F1436">
        <w:rPr>
          <w:rFonts w:ascii="Times New Roman" w:hAnsi="Times New Roman"/>
        </w:rPr>
        <w:t xml:space="preserve">; with </w:t>
      </w:r>
      <w:r w:rsidR="00A77639">
        <w:rPr>
          <w:rFonts w:ascii="Times New Roman" w:hAnsi="Times New Roman"/>
        </w:rPr>
        <w:t>second</w:t>
      </w:r>
      <w:r w:rsidR="009F1436">
        <w:rPr>
          <w:rFonts w:ascii="Times New Roman" w:hAnsi="Times New Roman"/>
        </w:rPr>
        <w:t xml:space="preserve"> round updates in </w:t>
      </w:r>
      <w:r w:rsidR="009F1436" w:rsidRPr="009F1436">
        <w:rPr>
          <w:rFonts w:ascii="Times New Roman" w:hAnsi="Times New Roman"/>
        </w:rPr>
        <w:t xml:space="preserve">R2-2104365, </w:t>
      </w:r>
      <w:r w:rsidR="00A77639">
        <w:rPr>
          <w:rFonts w:ascii="Times New Roman" w:hAnsi="Times New Roman"/>
        </w:rPr>
        <w:t>and third</w:t>
      </w:r>
      <w:r w:rsidR="009F1436" w:rsidRPr="009F1436">
        <w:rPr>
          <w:rFonts w:ascii="Times New Roman" w:hAnsi="Times New Roman"/>
        </w:rPr>
        <w:t xml:space="preserve"> round </w:t>
      </w:r>
      <w:r w:rsidR="00A77639">
        <w:rPr>
          <w:rFonts w:ascii="Times New Roman" w:hAnsi="Times New Roman"/>
        </w:rPr>
        <w:t xml:space="preserve">updates </w:t>
      </w:r>
      <w:r w:rsidR="009F1436" w:rsidRPr="009F1436">
        <w:rPr>
          <w:rFonts w:ascii="Times New Roman" w:hAnsi="Times New Roman"/>
        </w:rPr>
        <w:t>in R2-2104372</w:t>
      </w:r>
    </w:p>
    <w:p w14:paraId="1D51DB74" w14:textId="2C63EF8E" w:rsidR="00C84697" w:rsidRPr="00C84697" w:rsidRDefault="00C84697" w:rsidP="003A09D5">
      <w:pPr>
        <w:pStyle w:val="ListParagraph"/>
        <w:numPr>
          <w:ilvl w:val="0"/>
          <w:numId w:val="9"/>
        </w:numPr>
        <w:jc w:val="both"/>
        <w:rPr>
          <w:rFonts w:ascii="Times New Roman" w:hAnsi="Times New Roman"/>
        </w:rPr>
      </w:pPr>
      <w:bookmarkStart w:id="10" w:name="_Ref71193948"/>
      <w:r>
        <w:rPr>
          <w:rFonts w:ascii="Times New Roman" w:hAnsi="Times New Roman"/>
        </w:rPr>
        <w:t xml:space="preserve">Nokia, </w:t>
      </w:r>
      <w:r w:rsidRPr="00C84697">
        <w:rPr>
          <w:rFonts w:ascii="Times New Roman" w:hAnsi="Times New Roman"/>
        </w:rPr>
        <w:t>Nokia Shanghai Bell</w:t>
      </w:r>
      <w:r>
        <w:rPr>
          <w:rFonts w:ascii="Times New Roman" w:hAnsi="Times New Roman"/>
        </w:rPr>
        <w:t>, “</w:t>
      </w:r>
      <w:r w:rsidRPr="00C84697">
        <w:rPr>
          <w:rFonts w:ascii="Times New Roman" w:hAnsi="Times New Roman"/>
        </w:rPr>
        <w:t>Post-[108][NTN] views on SMTC and measurement gaps”, R2-2103336</w:t>
      </w:r>
      <w:bookmarkEnd w:id="10"/>
    </w:p>
    <w:p w14:paraId="10E9DB07" w14:textId="6D8C59A4" w:rsidR="00616BD3" w:rsidRDefault="00616BD3" w:rsidP="003A09D5">
      <w:pPr>
        <w:pStyle w:val="ListParagraph"/>
        <w:numPr>
          <w:ilvl w:val="0"/>
          <w:numId w:val="9"/>
        </w:numPr>
        <w:jc w:val="both"/>
        <w:rPr>
          <w:rFonts w:ascii="Times New Roman" w:hAnsi="Times New Roman"/>
        </w:rPr>
      </w:pPr>
      <w:r w:rsidRPr="00616BD3">
        <w:rPr>
          <w:rFonts w:ascii="Times New Roman" w:hAnsi="Times New Roman"/>
        </w:rPr>
        <w:t>Report from Break-out session on R17 NTN and REDCAP</w:t>
      </w:r>
      <w:r>
        <w:rPr>
          <w:rFonts w:ascii="Times New Roman" w:hAnsi="Times New Roman"/>
        </w:rPr>
        <w:t xml:space="preserve">, </w:t>
      </w:r>
      <w:r w:rsidRPr="00616BD3">
        <w:rPr>
          <w:rFonts w:ascii="Times New Roman" w:hAnsi="Times New Roman"/>
        </w:rPr>
        <w:t>R2-2104302</w:t>
      </w:r>
    </w:p>
    <w:p w14:paraId="3C57E735" w14:textId="682C036E" w:rsidR="00DD34C5" w:rsidRPr="000B34C3" w:rsidRDefault="00DD34C5" w:rsidP="003A09D5">
      <w:pPr>
        <w:pStyle w:val="ListParagraph"/>
        <w:numPr>
          <w:ilvl w:val="0"/>
          <w:numId w:val="9"/>
        </w:numPr>
        <w:jc w:val="both"/>
        <w:rPr>
          <w:rFonts w:ascii="Times New Roman" w:hAnsi="Times New Roman"/>
        </w:rPr>
      </w:pPr>
      <w:bookmarkStart w:id="11" w:name="_Ref85445961"/>
      <w:r w:rsidRPr="2A95B4D3">
        <w:rPr>
          <w:rFonts w:ascii="Times New Roman" w:hAnsi="Times New Roman"/>
        </w:rPr>
        <w:t>R2-2108832 Report from Break-out session on R17 NTN, REDCAP and CE</w:t>
      </w:r>
      <w:r w:rsidR="000B34C3" w:rsidRPr="2A95B4D3">
        <w:rPr>
          <w:rFonts w:ascii="Times New Roman" w:hAnsi="Times New Roman"/>
        </w:rPr>
        <w:t xml:space="preserve"> 3GPP TSG-RAN WG2 Meeting #115 electronic</w:t>
      </w:r>
      <w:r>
        <w:tab/>
      </w:r>
      <w:r w:rsidR="000B34C3" w:rsidRPr="2A95B4D3">
        <w:rPr>
          <w:rFonts w:ascii="Times New Roman" w:hAnsi="Times New Roman"/>
        </w:rPr>
        <w:t xml:space="preserve"> Online, Aug 16th - 27th, 2021</w:t>
      </w:r>
      <w:bookmarkEnd w:id="11"/>
    </w:p>
    <w:p w14:paraId="47D8C851" w14:textId="24F21FDF" w:rsidR="009A4BBA" w:rsidRPr="009A4BBA" w:rsidRDefault="009A4BBA" w:rsidP="003A09D5">
      <w:pPr>
        <w:pStyle w:val="ListParagraph"/>
        <w:jc w:val="both"/>
        <w:rPr>
          <w:highlight w:val="yellow"/>
        </w:rPr>
      </w:pPr>
    </w:p>
    <w:sectPr w:rsidR="009A4BBA" w:rsidRPr="009A4BB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4B095" w14:textId="77777777" w:rsidR="005212FB" w:rsidRDefault="005212FB">
      <w:r>
        <w:separator/>
      </w:r>
    </w:p>
  </w:endnote>
  <w:endnote w:type="continuationSeparator" w:id="0">
    <w:p w14:paraId="242331D4" w14:textId="77777777" w:rsidR="005212FB" w:rsidRDefault="005212FB">
      <w:r>
        <w:continuationSeparator/>
      </w:r>
    </w:p>
  </w:endnote>
  <w:endnote w:type="continuationNotice" w:id="1">
    <w:p w14:paraId="02B9CCD7" w14:textId="77777777" w:rsidR="005212FB" w:rsidRDefault="005212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9D56CA" w:rsidRDefault="009D56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9D56CA" w:rsidRDefault="009D56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9D56CA" w:rsidRDefault="009D56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4198F" w14:textId="77777777" w:rsidR="005212FB" w:rsidRDefault="005212FB">
      <w:r>
        <w:separator/>
      </w:r>
    </w:p>
  </w:footnote>
  <w:footnote w:type="continuationSeparator" w:id="0">
    <w:p w14:paraId="4D8BC994" w14:textId="77777777" w:rsidR="005212FB" w:rsidRDefault="005212FB">
      <w:r>
        <w:continuationSeparator/>
      </w:r>
    </w:p>
  </w:footnote>
  <w:footnote w:type="continuationNotice" w:id="1">
    <w:p w14:paraId="360D937E" w14:textId="77777777" w:rsidR="005212FB" w:rsidRDefault="005212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9D56CA" w:rsidRDefault="009D56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9D56CA" w:rsidRDefault="009D56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9D56CA" w:rsidRDefault="009D56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7AC3370"/>
    <w:multiLevelType w:val="hybridMultilevel"/>
    <w:tmpl w:val="0DAAA8D6"/>
    <w:lvl w:ilvl="0" w:tplc="B12C7432">
      <w:start w:val="1"/>
      <w:numFmt w:val="lowerRoman"/>
      <w:lvlText w:val="%1."/>
      <w:lvlJc w:val="left"/>
      <w:pPr>
        <w:ind w:left="1080" w:hanging="72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354C3F"/>
    <w:multiLevelType w:val="hybridMultilevel"/>
    <w:tmpl w:val="A408687E"/>
    <w:lvl w:ilvl="0" w:tplc="0380A9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5C7E0A29"/>
    <w:multiLevelType w:val="hybridMultilevel"/>
    <w:tmpl w:val="F064B80C"/>
    <w:lvl w:ilvl="0" w:tplc="040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2"/>
  </w:num>
  <w:num w:numId="9">
    <w:abstractNumId w:val="4"/>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F65"/>
    <w:rsid w:val="000077AE"/>
    <w:rsid w:val="00016557"/>
    <w:rsid w:val="00023C40"/>
    <w:rsid w:val="00024812"/>
    <w:rsid w:val="00031242"/>
    <w:rsid w:val="0003179C"/>
    <w:rsid w:val="00032E8F"/>
    <w:rsid w:val="00033397"/>
    <w:rsid w:val="00040095"/>
    <w:rsid w:val="00041D0C"/>
    <w:rsid w:val="00042933"/>
    <w:rsid w:val="000558CA"/>
    <w:rsid w:val="00066150"/>
    <w:rsid w:val="00073C9C"/>
    <w:rsid w:val="00080512"/>
    <w:rsid w:val="0008248C"/>
    <w:rsid w:val="00086E7C"/>
    <w:rsid w:val="00090132"/>
    <w:rsid w:val="00090468"/>
    <w:rsid w:val="00090BC5"/>
    <w:rsid w:val="00094568"/>
    <w:rsid w:val="000962DB"/>
    <w:rsid w:val="00096EC1"/>
    <w:rsid w:val="000A2B0B"/>
    <w:rsid w:val="000B192F"/>
    <w:rsid w:val="000B2D27"/>
    <w:rsid w:val="000B34C3"/>
    <w:rsid w:val="000B7BCF"/>
    <w:rsid w:val="000C522B"/>
    <w:rsid w:val="000D10AA"/>
    <w:rsid w:val="000D2691"/>
    <w:rsid w:val="000D58AB"/>
    <w:rsid w:val="000D706B"/>
    <w:rsid w:val="000E17FB"/>
    <w:rsid w:val="000E1A8B"/>
    <w:rsid w:val="00101569"/>
    <w:rsid w:val="00105F79"/>
    <w:rsid w:val="001070A0"/>
    <w:rsid w:val="00112F1A"/>
    <w:rsid w:val="001169EF"/>
    <w:rsid w:val="00116C72"/>
    <w:rsid w:val="00117388"/>
    <w:rsid w:val="00123B28"/>
    <w:rsid w:val="00125346"/>
    <w:rsid w:val="001365EB"/>
    <w:rsid w:val="00136BBC"/>
    <w:rsid w:val="00140093"/>
    <w:rsid w:val="00141350"/>
    <w:rsid w:val="00141BD7"/>
    <w:rsid w:val="00145075"/>
    <w:rsid w:val="00146860"/>
    <w:rsid w:val="00150AEE"/>
    <w:rsid w:val="00150B9D"/>
    <w:rsid w:val="0015577B"/>
    <w:rsid w:val="001571BB"/>
    <w:rsid w:val="00170B32"/>
    <w:rsid w:val="001741A0"/>
    <w:rsid w:val="00174D8F"/>
    <w:rsid w:val="00175FA0"/>
    <w:rsid w:val="001770CE"/>
    <w:rsid w:val="001915F1"/>
    <w:rsid w:val="00194536"/>
    <w:rsid w:val="00194CD0"/>
    <w:rsid w:val="0019595B"/>
    <w:rsid w:val="001A18FD"/>
    <w:rsid w:val="001A36CB"/>
    <w:rsid w:val="001A5BCC"/>
    <w:rsid w:val="001A7081"/>
    <w:rsid w:val="001B1593"/>
    <w:rsid w:val="001B3584"/>
    <w:rsid w:val="001B49C9"/>
    <w:rsid w:val="001B56FE"/>
    <w:rsid w:val="001B5C77"/>
    <w:rsid w:val="001B77E8"/>
    <w:rsid w:val="001C23F4"/>
    <w:rsid w:val="001C2CA9"/>
    <w:rsid w:val="001C4F79"/>
    <w:rsid w:val="001D445A"/>
    <w:rsid w:val="001E10FB"/>
    <w:rsid w:val="001E37CA"/>
    <w:rsid w:val="001E42EE"/>
    <w:rsid w:val="001E7245"/>
    <w:rsid w:val="001F168B"/>
    <w:rsid w:val="001F6628"/>
    <w:rsid w:val="001F7831"/>
    <w:rsid w:val="00204045"/>
    <w:rsid w:val="0020712B"/>
    <w:rsid w:val="00217CFB"/>
    <w:rsid w:val="00223BE7"/>
    <w:rsid w:val="0022521E"/>
    <w:rsid w:val="0022606D"/>
    <w:rsid w:val="00227D9D"/>
    <w:rsid w:val="00231728"/>
    <w:rsid w:val="00237369"/>
    <w:rsid w:val="002438E3"/>
    <w:rsid w:val="0024479C"/>
    <w:rsid w:val="00244A05"/>
    <w:rsid w:val="00245A33"/>
    <w:rsid w:val="00250404"/>
    <w:rsid w:val="002610D8"/>
    <w:rsid w:val="002653F8"/>
    <w:rsid w:val="00272767"/>
    <w:rsid w:val="00272A80"/>
    <w:rsid w:val="00273EDF"/>
    <w:rsid w:val="002747EC"/>
    <w:rsid w:val="00281DA6"/>
    <w:rsid w:val="00282428"/>
    <w:rsid w:val="002855BF"/>
    <w:rsid w:val="00286606"/>
    <w:rsid w:val="00287D27"/>
    <w:rsid w:val="002922E9"/>
    <w:rsid w:val="00295F86"/>
    <w:rsid w:val="002B05DC"/>
    <w:rsid w:val="002B49ED"/>
    <w:rsid w:val="002B5748"/>
    <w:rsid w:val="002C216E"/>
    <w:rsid w:val="002C41EF"/>
    <w:rsid w:val="002C5187"/>
    <w:rsid w:val="002D2D98"/>
    <w:rsid w:val="002D3957"/>
    <w:rsid w:val="002D5B57"/>
    <w:rsid w:val="002E18BE"/>
    <w:rsid w:val="002F0D22"/>
    <w:rsid w:val="003054E4"/>
    <w:rsid w:val="003067D6"/>
    <w:rsid w:val="003109D2"/>
    <w:rsid w:val="00311B17"/>
    <w:rsid w:val="00315BD2"/>
    <w:rsid w:val="003172DC"/>
    <w:rsid w:val="00325AE3"/>
    <w:rsid w:val="00326069"/>
    <w:rsid w:val="00330048"/>
    <w:rsid w:val="003318CF"/>
    <w:rsid w:val="0034162D"/>
    <w:rsid w:val="00342C4E"/>
    <w:rsid w:val="00344904"/>
    <w:rsid w:val="0035462D"/>
    <w:rsid w:val="0036459E"/>
    <w:rsid w:val="00364B41"/>
    <w:rsid w:val="00366773"/>
    <w:rsid w:val="00376E38"/>
    <w:rsid w:val="003802EE"/>
    <w:rsid w:val="00383096"/>
    <w:rsid w:val="003864BB"/>
    <w:rsid w:val="0039060C"/>
    <w:rsid w:val="0039346C"/>
    <w:rsid w:val="00395896"/>
    <w:rsid w:val="003973A9"/>
    <w:rsid w:val="003A09D5"/>
    <w:rsid w:val="003A1DB1"/>
    <w:rsid w:val="003A33C3"/>
    <w:rsid w:val="003A41EF"/>
    <w:rsid w:val="003B14E9"/>
    <w:rsid w:val="003B295F"/>
    <w:rsid w:val="003B40AD"/>
    <w:rsid w:val="003B4211"/>
    <w:rsid w:val="003C1F01"/>
    <w:rsid w:val="003C4E37"/>
    <w:rsid w:val="003D4DD4"/>
    <w:rsid w:val="003D7A99"/>
    <w:rsid w:val="003E16BE"/>
    <w:rsid w:val="003F145D"/>
    <w:rsid w:val="003F3A09"/>
    <w:rsid w:val="003F3FD4"/>
    <w:rsid w:val="003F4E28"/>
    <w:rsid w:val="003F6968"/>
    <w:rsid w:val="003F6F54"/>
    <w:rsid w:val="004006E8"/>
    <w:rsid w:val="00400AEE"/>
    <w:rsid w:val="00401855"/>
    <w:rsid w:val="00404A05"/>
    <w:rsid w:val="004114F1"/>
    <w:rsid w:val="004123D3"/>
    <w:rsid w:val="0042705E"/>
    <w:rsid w:val="00433978"/>
    <w:rsid w:val="00434A4C"/>
    <w:rsid w:val="00447B17"/>
    <w:rsid w:val="0046174F"/>
    <w:rsid w:val="00461889"/>
    <w:rsid w:val="0046444F"/>
    <w:rsid w:val="00465587"/>
    <w:rsid w:val="00470411"/>
    <w:rsid w:val="00477455"/>
    <w:rsid w:val="004860EB"/>
    <w:rsid w:val="0048709A"/>
    <w:rsid w:val="00495AA5"/>
    <w:rsid w:val="004A1F7B"/>
    <w:rsid w:val="004B1688"/>
    <w:rsid w:val="004B1A79"/>
    <w:rsid w:val="004B4FD4"/>
    <w:rsid w:val="004B6632"/>
    <w:rsid w:val="004C44D2"/>
    <w:rsid w:val="004D3578"/>
    <w:rsid w:val="004D380D"/>
    <w:rsid w:val="004E15FC"/>
    <w:rsid w:val="004E213A"/>
    <w:rsid w:val="004E7EA9"/>
    <w:rsid w:val="004F0E81"/>
    <w:rsid w:val="004F1BA6"/>
    <w:rsid w:val="004F4540"/>
    <w:rsid w:val="004F62DC"/>
    <w:rsid w:val="004F73A7"/>
    <w:rsid w:val="0050214D"/>
    <w:rsid w:val="00502BC2"/>
    <w:rsid w:val="00503171"/>
    <w:rsid w:val="005045DB"/>
    <w:rsid w:val="00504E6E"/>
    <w:rsid w:val="00505414"/>
    <w:rsid w:val="00506C28"/>
    <w:rsid w:val="005077BA"/>
    <w:rsid w:val="005108D4"/>
    <w:rsid w:val="00517B8B"/>
    <w:rsid w:val="00520736"/>
    <w:rsid w:val="005212FB"/>
    <w:rsid w:val="005303FD"/>
    <w:rsid w:val="005326AD"/>
    <w:rsid w:val="00534DA0"/>
    <w:rsid w:val="00537A80"/>
    <w:rsid w:val="00543E6C"/>
    <w:rsid w:val="0054665D"/>
    <w:rsid w:val="00550050"/>
    <w:rsid w:val="00550930"/>
    <w:rsid w:val="00555263"/>
    <w:rsid w:val="00565087"/>
    <w:rsid w:val="0056573F"/>
    <w:rsid w:val="0056720D"/>
    <w:rsid w:val="00571279"/>
    <w:rsid w:val="00571E01"/>
    <w:rsid w:val="00594076"/>
    <w:rsid w:val="005A2A3B"/>
    <w:rsid w:val="005A2D2E"/>
    <w:rsid w:val="005A49C6"/>
    <w:rsid w:val="005B502A"/>
    <w:rsid w:val="005B5D5C"/>
    <w:rsid w:val="005C06B9"/>
    <w:rsid w:val="005C3660"/>
    <w:rsid w:val="005C3B4F"/>
    <w:rsid w:val="005C6EE9"/>
    <w:rsid w:val="005C7201"/>
    <w:rsid w:val="005D4D6A"/>
    <w:rsid w:val="005E3F69"/>
    <w:rsid w:val="005E413D"/>
    <w:rsid w:val="005F15A0"/>
    <w:rsid w:val="005F208B"/>
    <w:rsid w:val="006063A2"/>
    <w:rsid w:val="0061102B"/>
    <w:rsid w:val="00611566"/>
    <w:rsid w:val="0061359B"/>
    <w:rsid w:val="00616BD3"/>
    <w:rsid w:val="006205EF"/>
    <w:rsid w:val="00623541"/>
    <w:rsid w:val="006244D1"/>
    <w:rsid w:val="00633BB6"/>
    <w:rsid w:val="006409BE"/>
    <w:rsid w:val="006409F1"/>
    <w:rsid w:val="0064178B"/>
    <w:rsid w:val="0064310F"/>
    <w:rsid w:val="00646D99"/>
    <w:rsid w:val="006506FB"/>
    <w:rsid w:val="00654E9C"/>
    <w:rsid w:val="00656910"/>
    <w:rsid w:val="00657143"/>
    <w:rsid w:val="006574C0"/>
    <w:rsid w:val="00670359"/>
    <w:rsid w:val="006704C6"/>
    <w:rsid w:val="00674D62"/>
    <w:rsid w:val="006839A5"/>
    <w:rsid w:val="00684C15"/>
    <w:rsid w:val="00696821"/>
    <w:rsid w:val="006A6526"/>
    <w:rsid w:val="006B2C78"/>
    <w:rsid w:val="006C26F2"/>
    <w:rsid w:val="006C66D8"/>
    <w:rsid w:val="006D1E24"/>
    <w:rsid w:val="006D35DE"/>
    <w:rsid w:val="006E1417"/>
    <w:rsid w:val="006E2236"/>
    <w:rsid w:val="006E77BA"/>
    <w:rsid w:val="006F6A2C"/>
    <w:rsid w:val="006F7102"/>
    <w:rsid w:val="007069DC"/>
    <w:rsid w:val="00710201"/>
    <w:rsid w:val="0072073A"/>
    <w:rsid w:val="00726EEC"/>
    <w:rsid w:val="0073191A"/>
    <w:rsid w:val="00732E90"/>
    <w:rsid w:val="007342B5"/>
    <w:rsid w:val="00734A5B"/>
    <w:rsid w:val="00744E76"/>
    <w:rsid w:val="007461C4"/>
    <w:rsid w:val="00754915"/>
    <w:rsid w:val="00754E38"/>
    <w:rsid w:val="00754F1A"/>
    <w:rsid w:val="00755F65"/>
    <w:rsid w:val="00757D40"/>
    <w:rsid w:val="007662B5"/>
    <w:rsid w:val="00781F0F"/>
    <w:rsid w:val="0078504D"/>
    <w:rsid w:val="0078727C"/>
    <w:rsid w:val="0079049D"/>
    <w:rsid w:val="00791969"/>
    <w:rsid w:val="00793DC5"/>
    <w:rsid w:val="00796823"/>
    <w:rsid w:val="007A03A2"/>
    <w:rsid w:val="007A2E55"/>
    <w:rsid w:val="007A5108"/>
    <w:rsid w:val="007A7EE6"/>
    <w:rsid w:val="007B14EC"/>
    <w:rsid w:val="007B18D8"/>
    <w:rsid w:val="007B4E11"/>
    <w:rsid w:val="007B5129"/>
    <w:rsid w:val="007C095F"/>
    <w:rsid w:val="007C2DD0"/>
    <w:rsid w:val="007D6F9C"/>
    <w:rsid w:val="007F2E08"/>
    <w:rsid w:val="008028A4"/>
    <w:rsid w:val="00810977"/>
    <w:rsid w:val="00813245"/>
    <w:rsid w:val="00817270"/>
    <w:rsid w:val="00820755"/>
    <w:rsid w:val="00821291"/>
    <w:rsid w:val="00826C55"/>
    <w:rsid w:val="00830CE9"/>
    <w:rsid w:val="008331A0"/>
    <w:rsid w:val="00835E07"/>
    <w:rsid w:val="008374FA"/>
    <w:rsid w:val="00840DE0"/>
    <w:rsid w:val="00856B1B"/>
    <w:rsid w:val="008607A8"/>
    <w:rsid w:val="00860B04"/>
    <w:rsid w:val="0086354A"/>
    <w:rsid w:val="008768CA"/>
    <w:rsid w:val="00877EF9"/>
    <w:rsid w:val="00880559"/>
    <w:rsid w:val="008823D1"/>
    <w:rsid w:val="008B250D"/>
    <w:rsid w:val="008B4522"/>
    <w:rsid w:val="008B5306"/>
    <w:rsid w:val="008C2E2A"/>
    <w:rsid w:val="008C3057"/>
    <w:rsid w:val="008C616F"/>
    <w:rsid w:val="008D2E4D"/>
    <w:rsid w:val="008D6FF5"/>
    <w:rsid w:val="008E2FBD"/>
    <w:rsid w:val="008E7917"/>
    <w:rsid w:val="008E7F1F"/>
    <w:rsid w:val="008F396F"/>
    <w:rsid w:val="008F3DCD"/>
    <w:rsid w:val="0090271F"/>
    <w:rsid w:val="00902DB9"/>
    <w:rsid w:val="0090466A"/>
    <w:rsid w:val="00913A30"/>
    <w:rsid w:val="00914880"/>
    <w:rsid w:val="009152B5"/>
    <w:rsid w:val="00921F71"/>
    <w:rsid w:val="00923655"/>
    <w:rsid w:val="00930773"/>
    <w:rsid w:val="009342CB"/>
    <w:rsid w:val="00935202"/>
    <w:rsid w:val="00936071"/>
    <w:rsid w:val="009376CD"/>
    <w:rsid w:val="00940212"/>
    <w:rsid w:val="009412C2"/>
    <w:rsid w:val="00942EC2"/>
    <w:rsid w:val="00946AEC"/>
    <w:rsid w:val="00950554"/>
    <w:rsid w:val="00950C6B"/>
    <w:rsid w:val="00955940"/>
    <w:rsid w:val="0095750A"/>
    <w:rsid w:val="00961B32"/>
    <w:rsid w:val="00962509"/>
    <w:rsid w:val="009645D0"/>
    <w:rsid w:val="00966744"/>
    <w:rsid w:val="00970DB3"/>
    <w:rsid w:val="00974BB0"/>
    <w:rsid w:val="00975BCD"/>
    <w:rsid w:val="00976BFC"/>
    <w:rsid w:val="009928A9"/>
    <w:rsid w:val="009A0AF3"/>
    <w:rsid w:val="009A3B8B"/>
    <w:rsid w:val="009A4BBA"/>
    <w:rsid w:val="009B07CD"/>
    <w:rsid w:val="009B5854"/>
    <w:rsid w:val="009C19E9"/>
    <w:rsid w:val="009C7B2B"/>
    <w:rsid w:val="009D56CA"/>
    <w:rsid w:val="009D74A6"/>
    <w:rsid w:val="009E0E87"/>
    <w:rsid w:val="009F1436"/>
    <w:rsid w:val="009F27D3"/>
    <w:rsid w:val="009F2A64"/>
    <w:rsid w:val="009F4B39"/>
    <w:rsid w:val="009F5685"/>
    <w:rsid w:val="00A01338"/>
    <w:rsid w:val="00A040F9"/>
    <w:rsid w:val="00A06331"/>
    <w:rsid w:val="00A10F02"/>
    <w:rsid w:val="00A133F6"/>
    <w:rsid w:val="00A14371"/>
    <w:rsid w:val="00A204CA"/>
    <w:rsid w:val="00A209D6"/>
    <w:rsid w:val="00A20BD0"/>
    <w:rsid w:val="00A22738"/>
    <w:rsid w:val="00A242D7"/>
    <w:rsid w:val="00A265A8"/>
    <w:rsid w:val="00A40B42"/>
    <w:rsid w:val="00A430EC"/>
    <w:rsid w:val="00A4798A"/>
    <w:rsid w:val="00A513E6"/>
    <w:rsid w:val="00A51530"/>
    <w:rsid w:val="00A52BE9"/>
    <w:rsid w:val="00A53724"/>
    <w:rsid w:val="00A54B2B"/>
    <w:rsid w:val="00A578A2"/>
    <w:rsid w:val="00A61B4A"/>
    <w:rsid w:val="00A640D5"/>
    <w:rsid w:val="00A77639"/>
    <w:rsid w:val="00A8086B"/>
    <w:rsid w:val="00A80E84"/>
    <w:rsid w:val="00A82346"/>
    <w:rsid w:val="00A9284E"/>
    <w:rsid w:val="00A9671C"/>
    <w:rsid w:val="00AA04AE"/>
    <w:rsid w:val="00AA1553"/>
    <w:rsid w:val="00AA1749"/>
    <w:rsid w:val="00AA1DFF"/>
    <w:rsid w:val="00AA2E54"/>
    <w:rsid w:val="00AA49F1"/>
    <w:rsid w:val="00AB71C5"/>
    <w:rsid w:val="00AC0050"/>
    <w:rsid w:val="00AC108F"/>
    <w:rsid w:val="00AD56BB"/>
    <w:rsid w:val="00AE471B"/>
    <w:rsid w:val="00AF566D"/>
    <w:rsid w:val="00B05380"/>
    <w:rsid w:val="00B05962"/>
    <w:rsid w:val="00B107F8"/>
    <w:rsid w:val="00B15449"/>
    <w:rsid w:val="00B16C2F"/>
    <w:rsid w:val="00B20296"/>
    <w:rsid w:val="00B258F7"/>
    <w:rsid w:val="00B26C06"/>
    <w:rsid w:val="00B27303"/>
    <w:rsid w:val="00B30451"/>
    <w:rsid w:val="00B31D3E"/>
    <w:rsid w:val="00B31D83"/>
    <w:rsid w:val="00B32F63"/>
    <w:rsid w:val="00B373BD"/>
    <w:rsid w:val="00B47FD1"/>
    <w:rsid w:val="00B5002C"/>
    <w:rsid w:val="00B516BB"/>
    <w:rsid w:val="00B5447E"/>
    <w:rsid w:val="00B54A4C"/>
    <w:rsid w:val="00B606A1"/>
    <w:rsid w:val="00B67447"/>
    <w:rsid w:val="00B73826"/>
    <w:rsid w:val="00B7538C"/>
    <w:rsid w:val="00B84DB2"/>
    <w:rsid w:val="00B90D79"/>
    <w:rsid w:val="00BA11FD"/>
    <w:rsid w:val="00BA1AB8"/>
    <w:rsid w:val="00BB1460"/>
    <w:rsid w:val="00BC3555"/>
    <w:rsid w:val="00BC3DAE"/>
    <w:rsid w:val="00BC422E"/>
    <w:rsid w:val="00BF3975"/>
    <w:rsid w:val="00C00608"/>
    <w:rsid w:val="00C035D9"/>
    <w:rsid w:val="00C04133"/>
    <w:rsid w:val="00C04548"/>
    <w:rsid w:val="00C04697"/>
    <w:rsid w:val="00C04E72"/>
    <w:rsid w:val="00C064F7"/>
    <w:rsid w:val="00C12B51"/>
    <w:rsid w:val="00C16CA8"/>
    <w:rsid w:val="00C24650"/>
    <w:rsid w:val="00C25465"/>
    <w:rsid w:val="00C25873"/>
    <w:rsid w:val="00C301FB"/>
    <w:rsid w:val="00C33079"/>
    <w:rsid w:val="00C33B48"/>
    <w:rsid w:val="00C34B96"/>
    <w:rsid w:val="00C372F0"/>
    <w:rsid w:val="00C502DB"/>
    <w:rsid w:val="00C5117A"/>
    <w:rsid w:val="00C55A12"/>
    <w:rsid w:val="00C6553E"/>
    <w:rsid w:val="00C74402"/>
    <w:rsid w:val="00C83A13"/>
    <w:rsid w:val="00C84697"/>
    <w:rsid w:val="00C86F10"/>
    <w:rsid w:val="00C9068C"/>
    <w:rsid w:val="00C908E5"/>
    <w:rsid w:val="00C92938"/>
    <w:rsid w:val="00C92967"/>
    <w:rsid w:val="00CA351F"/>
    <w:rsid w:val="00CA3D0C"/>
    <w:rsid w:val="00CA654B"/>
    <w:rsid w:val="00CB1B9B"/>
    <w:rsid w:val="00CB2544"/>
    <w:rsid w:val="00CB42C4"/>
    <w:rsid w:val="00CB6761"/>
    <w:rsid w:val="00CB68AA"/>
    <w:rsid w:val="00CB72B8"/>
    <w:rsid w:val="00CC0E66"/>
    <w:rsid w:val="00CC3DBE"/>
    <w:rsid w:val="00CC6775"/>
    <w:rsid w:val="00CD0BA8"/>
    <w:rsid w:val="00CD12B0"/>
    <w:rsid w:val="00CD4C7B"/>
    <w:rsid w:val="00CD526F"/>
    <w:rsid w:val="00CD58FE"/>
    <w:rsid w:val="00CF0DCE"/>
    <w:rsid w:val="00CF6FC5"/>
    <w:rsid w:val="00CF702D"/>
    <w:rsid w:val="00D11BB1"/>
    <w:rsid w:val="00D14837"/>
    <w:rsid w:val="00D17759"/>
    <w:rsid w:val="00D2456C"/>
    <w:rsid w:val="00D33BE3"/>
    <w:rsid w:val="00D34CDA"/>
    <w:rsid w:val="00D3792D"/>
    <w:rsid w:val="00D42F73"/>
    <w:rsid w:val="00D50AF1"/>
    <w:rsid w:val="00D55E47"/>
    <w:rsid w:val="00D602B4"/>
    <w:rsid w:val="00D62E19"/>
    <w:rsid w:val="00D67CD1"/>
    <w:rsid w:val="00D70A7D"/>
    <w:rsid w:val="00D71AE9"/>
    <w:rsid w:val="00D738D6"/>
    <w:rsid w:val="00D80129"/>
    <w:rsid w:val="00D80795"/>
    <w:rsid w:val="00D80B31"/>
    <w:rsid w:val="00D854BE"/>
    <w:rsid w:val="00D875F6"/>
    <w:rsid w:val="00D87E00"/>
    <w:rsid w:val="00D9134D"/>
    <w:rsid w:val="00D9227D"/>
    <w:rsid w:val="00D95C48"/>
    <w:rsid w:val="00D96D11"/>
    <w:rsid w:val="00DA7841"/>
    <w:rsid w:val="00DA7A03"/>
    <w:rsid w:val="00DA7DFD"/>
    <w:rsid w:val="00DB0987"/>
    <w:rsid w:val="00DB0DB8"/>
    <w:rsid w:val="00DB1818"/>
    <w:rsid w:val="00DC309B"/>
    <w:rsid w:val="00DC36A9"/>
    <w:rsid w:val="00DC3BB2"/>
    <w:rsid w:val="00DC4DA2"/>
    <w:rsid w:val="00DC5261"/>
    <w:rsid w:val="00DD1CD5"/>
    <w:rsid w:val="00DD2671"/>
    <w:rsid w:val="00DD34C5"/>
    <w:rsid w:val="00DD3E96"/>
    <w:rsid w:val="00DD5736"/>
    <w:rsid w:val="00DD7AE4"/>
    <w:rsid w:val="00DE1302"/>
    <w:rsid w:val="00DE25D2"/>
    <w:rsid w:val="00DE4E41"/>
    <w:rsid w:val="00DF10AF"/>
    <w:rsid w:val="00DF268E"/>
    <w:rsid w:val="00E00D52"/>
    <w:rsid w:val="00E00E1A"/>
    <w:rsid w:val="00E00E80"/>
    <w:rsid w:val="00E03DC9"/>
    <w:rsid w:val="00E0504A"/>
    <w:rsid w:val="00E11B9F"/>
    <w:rsid w:val="00E1264B"/>
    <w:rsid w:val="00E174D0"/>
    <w:rsid w:val="00E17E7B"/>
    <w:rsid w:val="00E26761"/>
    <w:rsid w:val="00E2724F"/>
    <w:rsid w:val="00E34503"/>
    <w:rsid w:val="00E3697A"/>
    <w:rsid w:val="00E4386D"/>
    <w:rsid w:val="00E46C08"/>
    <w:rsid w:val="00E471CF"/>
    <w:rsid w:val="00E52E5C"/>
    <w:rsid w:val="00E52E94"/>
    <w:rsid w:val="00E55ED9"/>
    <w:rsid w:val="00E5642A"/>
    <w:rsid w:val="00E60860"/>
    <w:rsid w:val="00E62080"/>
    <w:rsid w:val="00E62835"/>
    <w:rsid w:val="00E637E2"/>
    <w:rsid w:val="00E67CBA"/>
    <w:rsid w:val="00E722A4"/>
    <w:rsid w:val="00E7254E"/>
    <w:rsid w:val="00E75C25"/>
    <w:rsid w:val="00E77645"/>
    <w:rsid w:val="00E804DF"/>
    <w:rsid w:val="00E82598"/>
    <w:rsid w:val="00E83697"/>
    <w:rsid w:val="00E859B6"/>
    <w:rsid w:val="00E922D0"/>
    <w:rsid w:val="00E97A63"/>
    <w:rsid w:val="00EA31F3"/>
    <w:rsid w:val="00EA66C9"/>
    <w:rsid w:val="00EB6E66"/>
    <w:rsid w:val="00EB73D5"/>
    <w:rsid w:val="00EB79E6"/>
    <w:rsid w:val="00EC13D4"/>
    <w:rsid w:val="00EC1B9F"/>
    <w:rsid w:val="00EC26E6"/>
    <w:rsid w:val="00EC4A25"/>
    <w:rsid w:val="00EC5A8F"/>
    <w:rsid w:val="00ED768E"/>
    <w:rsid w:val="00EE13CC"/>
    <w:rsid w:val="00EF612C"/>
    <w:rsid w:val="00EF6FCE"/>
    <w:rsid w:val="00F025A2"/>
    <w:rsid w:val="00F036E9"/>
    <w:rsid w:val="00F07388"/>
    <w:rsid w:val="00F106ED"/>
    <w:rsid w:val="00F2026E"/>
    <w:rsid w:val="00F2210A"/>
    <w:rsid w:val="00F24360"/>
    <w:rsid w:val="00F25426"/>
    <w:rsid w:val="00F26861"/>
    <w:rsid w:val="00F310CB"/>
    <w:rsid w:val="00F31372"/>
    <w:rsid w:val="00F36DA0"/>
    <w:rsid w:val="00F36ED9"/>
    <w:rsid w:val="00F37743"/>
    <w:rsid w:val="00F41307"/>
    <w:rsid w:val="00F43B94"/>
    <w:rsid w:val="00F44FE2"/>
    <w:rsid w:val="00F5271F"/>
    <w:rsid w:val="00F54A3D"/>
    <w:rsid w:val="00F54CB0"/>
    <w:rsid w:val="00F54E31"/>
    <w:rsid w:val="00F579CD"/>
    <w:rsid w:val="00F6149F"/>
    <w:rsid w:val="00F620B7"/>
    <w:rsid w:val="00F653B8"/>
    <w:rsid w:val="00F71B89"/>
    <w:rsid w:val="00F7353C"/>
    <w:rsid w:val="00F76F8F"/>
    <w:rsid w:val="00F85DCE"/>
    <w:rsid w:val="00F86533"/>
    <w:rsid w:val="00F936A2"/>
    <w:rsid w:val="00F941DF"/>
    <w:rsid w:val="00FA1266"/>
    <w:rsid w:val="00FA2ADA"/>
    <w:rsid w:val="00FB36FA"/>
    <w:rsid w:val="00FB4AFB"/>
    <w:rsid w:val="00FB59EE"/>
    <w:rsid w:val="00FB5BC2"/>
    <w:rsid w:val="00FC0407"/>
    <w:rsid w:val="00FC1192"/>
    <w:rsid w:val="00FC37CF"/>
    <w:rsid w:val="00FC5682"/>
    <w:rsid w:val="00FE106D"/>
    <w:rsid w:val="00FE251B"/>
    <w:rsid w:val="00FE3EEB"/>
    <w:rsid w:val="00FE4F33"/>
    <w:rsid w:val="00FF39C8"/>
    <w:rsid w:val="00FF4943"/>
    <w:rsid w:val="00FF63EC"/>
    <w:rsid w:val="00FF6890"/>
    <w:rsid w:val="023564A7"/>
    <w:rsid w:val="03043DF4"/>
    <w:rsid w:val="0338B982"/>
    <w:rsid w:val="05D588DE"/>
    <w:rsid w:val="0645F710"/>
    <w:rsid w:val="08387602"/>
    <w:rsid w:val="08E6C53B"/>
    <w:rsid w:val="0BFB210C"/>
    <w:rsid w:val="0DA13685"/>
    <w:rsid w:val="0E5006F0"/>
    <w:rsid w:val="0ECF6567"/>
    <w:rsid w:val="118A6EAF"/>
    <w:rsid w:val="128DA781"/>
    <w:rsid w:val="14E6CEAB"/>
    <w:rsid w:val="14F0D61B"/>
    <w:rsid w:val="1649C484"/>
    <w:rsid w:val="17199836"/>
    <w:rsid w:val="17558E7C"/>
    <w:rsid w:val="1774034F"/>
    <w:rsid w:val="19300DC2"/>
    <w:rsid w:val="1ABB8CA8"/>
    <w:rsid w:val="1B76719E"/>
    <w:rsid w:val="1E2905FE"/>
    <w:rsid w:val="1F477804"/>
    <w:rsid w:val="2197786E"/>
    <w:rsid w:val="224D4F9E"/>
    <w:rsid w:val="2663BFBA"/>
    <w:rsid w:val="26CBE889"/>
    <w:rsid w:val="273512DB"/>
    <w:rsid w:val="295C7B49"/>
    <w:rsid w:val="2A068BC4"/>
    <w:rsid w:val="2A569CC2"/>
    <w:rsid w:val="2A95B4D3"/>
    <w:rsid w:val="2B4699F9"/>
    <w:rsid w:val="2BE4FFAB"/>
    <w:rsid w:val="2D8836FF"/>
    <w:rsid w:val="30648FC2"/>
    <w:rsid w:val="31830633"/>
    <w:rsid w:val="31D406C5"/>
    <w:rsid w:val="31F8B94A"/>
    <w:rsid w:val="3305DCE5"/>
    <w:rsid w:val="331CE79F"/>
    <w:rsid w:val="336FD726"/>
    <w:rsid w:val="33A8D94F"/>
    <w:rsid w:val="34AFA659"/>
    <w:rsid w:val="350BA787"/>
    <w:rsid w:val="351F1F35"/>
    <w:rsid w:val="362B48B9"/>
    <w:rsid w:val="36A8A8F5"/>
    <w:rsid w:val="36B16C84"/>
    <w:rsid w:val="3D16B96C"/>
    <w:rsid w:val="3D435977"/>
    <w:rsid w:val="3F323470"/>
    <w:rsid w:val="3F4A0663"/>
    <w:rsid w:val="3F808965"/>
    <w:rsid w:val="3FB9C46E"/>
    <w:rsid w:val="402797B7"/>
    <w:rsid w:val="4061D1DC"/>
    <w:rsid w:val="4166CFA6"/>
    <w:rsid w:val="42F336CC"/>
    <w:rsid w:val="431FD80F"/>
    <w:rsid w:val="4399729E"/>
    <w:rsid w:val="448D3591"/>
    <w:rsid w:val="453542FF"/>
    <w:rsid w:val="4597BEEF"/>
    <w:rsid w:val="461C1104"/>
    <w:rsid w:val="48DCCB6C"/>
    <w:rsid w:val="4929EAFB"/>
    <w:rsid w:val="49448B5A"/>
    <w:rsid w:val="4958B92E"/>
    <w:rsid w:val="4A5828E6"/>
    <w:rsid w:val="4B0ECEE7"/>
    <w:rsid w:val="4B98FA5B"/>
    <w:rsid w:val="4ED09B1D"/>
    <w:rsid w:val="50BA7641"/>
    <w:rsid w:val="5395BB4C"/>
    <w:rsid w:val="545F915C"/>
    <w:rsid w:val="548A30FE"/>
    <w:rsid w:val="5719C452"/>
    <w:rsid w:val="5757F12F"/>
    <w:rsid w:val="57DAFA1D"/>
    <w:rsid w:val="593DE6C7"/>
    <w:rsid w:val="5A8B2890"/>
    <w:rsid w:val="5B012198"/>
    <w:rsid w:val="5D9A40AD"/>
    <w:rsid w:val="60C0A698"/>
    <w:rsid w:val="60E385DA"/>
    <w:rsid w:val="61F5A4DE"/>
    <w:rsid w:val="6493E6A1"/>
    <w:rsid w:val="64F486F3"/>
    <w:rsid w:val="68088727"/>
    <w:rsid w:val="690626B1"/>
    <w:rsid w:val="69454593"/>
    <w:rsid w:val="6A80B13B"/>
    <w:rsid w:val="6C299FA5"/>
    <w:rsid w:val="6CF29343"/>
    <w:rsid w:val="706E4FDE"/>
    <w:rsid w:val="72A01C18"/>
    <w:rsid w:val="73058494"/>
    <w:rsid w:val="734D3559"/>
    <w:rsid w:val="73C72315"/>
    <w:rsid w:val="7548189B"/>
    <w:rsid w:val="759900AE"/>
    <w:rsid w:val="76410E1C"/>
    <w:rsid w:val="7882805A"/>
    <w:rsid w:val="7A722280"/>
    <w:rsid w:val="7FE7F0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75A43CA4-7A40-4AFE-9E94-4EB3C61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645D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paragraph">
    <w:name w:val="paragraph"/>
    <w:basedOn w:val="Normal"/>
    <w:rsid w:val="00237369"/>
    <w:pPr>
      <w:spacing w:before="100" w:beforeAutospacing="1" w:after="100" w:afterAutospacing="1"/>
    </w:pPr>
    <w:rPr>
      <w:sz w:val="24"/>
      <w:szCs w:val="24"/>
      <w:lang w:val="en-US"/>
    </w:rPr>
  </w:style>
  <w:style w:type="character" w:customStyle="1" w:styleId="normaltextrun">
    <w:name w:val="normaltextrun"/>
    <w:basedOn w:val="DefaultParagraphFont"/>
    <w:rsid w:val="00237369"/>
  </w:style>
  <w:style w:type="character" w:customStyle="1" w:styleId="eop">
    <w:name w:val="eop"/>
    <w:basedOn w:val="DefaultParagraphFont"/>
    <w:rsid w:val="00237369"/>
  </w:style>
  <w:style w:type="paragraph" w:styleId="ListParagraph">
    <w:name w:val="List Paragraph"/>
    <w:aliases w:val="목록 단"/>
    <w:basedOn w:val="Normal"/>
    <w:link w:val="ListParagraphChar"/>
    <w:uiPriority w:val="34"/>
    <w:qFormat/>
    <w:rsid w:val="002653F8"/>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w:link w:val="ListParagraph"/>
    <w:uiPriority w:val="34"/>
    <w:qFormat/>
    <w:locked/>
    <w:rsid w:val="002653F8"/>
    <w:rPr>
      <w:rFonts w:ascii="Calibri" w:eastAsia="Calibri" w:hAnsi="Calibri"/>
      <w:sz w:val="22"/>
      <w:szCs w:val="22"/>
      <w:lang w:val="en-US" w:eastAsia="en-US"/>
    </w:rPr>
  </w:style>
  <w:style w:type="paragraph" w:styleId="Caption">
    <w:name w:val="caption"/>
    <w:basedOn w:val="Normal"/>
    <w:next w:val="Normal"/>
    <w:unhideWhenUsed/>
    <w:qFormat/>
    <w:rsid w:val="0008248C"/>
    <w:pPr>
      <w:spacing w:after="200"/>
    </w:pPr>
    <w:rPr>
      <w:i/>
      <w:iCs/>
      <w:color w:val="44546A" w:themeColor="text2"/>
      <w:sz w:val="18"/>
      <w:szCs w:val="18"/>
    </w:rPr>
  </w:style>
  <w:style w:type="character" w:styleId="CommentReference">
    <w:name w:val="annotation reference"/>
    <w:basedOn w:val="DefaultParagraphFont"/>
    <w:rsid w:val="00F106ED"/>
    <w:rPr>
      <w:sz w:val="16"/>
      <w:szCs w:val="16"/>
    </w:rPr>
  </w:style>
  <w:style w:type="paragraph" w:styleId="CommentText">
    <w:name w:val="annotation text"/>
    <w:basedOn w:val="Normal"/>
    <w:link w:val="CommentTextChar"/>
    <w:rsid w:val="00F106ED"/>
  </w:style>
  <w:style w:type="character" w:customStyle="1" w:styleId="CommentTextChar">
    <w:name w:val="Comment Text Char"/>
    <w:basedOn w:val="DefaultParagraphFont"/>
    <w:link w:val="CommentText"/>
    <w:rsid w:val="00F106ED"/>
    <w:rPr>
      <w:lang w:eastAsia="en-US"/>
    </w:rPr>
  </w:style>
  <w:style w:type="paragraph" w:styleId="CommentSubject">
    <w:name w:val="annotation subject"/>
    <w:basedOn w:val="CommentText"/>
    <w:next w:val="CommentText"/>
    <w:link w:val="CommentSubjectChar"/>
    <w:rsid w:val="00F106ED"/>
    <w:rPr>
      <w:b/>
      <w:bCs/>
    </w:rPr>
  </w:style>
  <w:style w:type="character" w:customStyle="1" w:styleId="CommentSubjectChar">
    <w:name w:val="Comment Subject Char"/>
    <w:basedOn w:val="CommentTextChar"/>
    <w:link w:val="CommentSubject"/>
    <w:rsid w:val="00F106ED"/>
    <w:rPr>
      <w:b/>
      <w:bCs/>
      <w:lang w:eastAsia="en-US"/>
    </w:rPr>
  </w:style>
  <w:style w:type="table" w:styleId="TableGrid">
    <w:name w:val="Table Grid"/>
    <w:basedOn w:val="TableNormal"/>
    <w:rsid w:val="009F2A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409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8180565">
      <w:bodyDiv w:val="1"/>
      <w:marLeft w:val="0"/>
      <w:marRight w:val="0"/>
      <w:marTop w:val="0"/>
      <w:marBottom w:val="0"/>
      <w:divBdr>
        <w:top w:val="none" w:sz="0" w:space="0" w:color="auto"/>
        <w:left w:val="none" w:sz="0" w:space="0" w:color="auto"/>
        <w:bottom w:val="none" w:sz="0" w:space="0" w:color="auto"/>
        <w:right w:val="none" w:sz="0" w:space="0" w:color="auto"/>
      </w:divBdr>
      <w:divsChild>
        <w:div w:id="92022130">
          <w:marLeft w:val="0"/>
          <w:marRight w:val="0"/>
          <w:marTop w:val="0"/>
          <w:marBottom w:val="0"/>
          <w:divBdr>
            <w:top w:val="none" w:sz="0" w:space="0" w:color="auto"/>
            <w:left w:val="none" w:sz="0" w:space="0" w:color="auto"/>
            <w:bottom w:val="none" w:sz="0" w:space="0" w:color="auto"/>
            <w:right w:val="none" w:sz="0" w:space="0" w:color="auto"/>
          </w:divBdr>
        </w:div>
        <w:div w:id="333797806">
          <w:marLeft w:val="0"/>
          <w:marRight w:val="0"/>
          <w:marTop w:val="0"/>
          <w:marBottom w:val="0"/>
          <w:divBdr>
            <w:top w:val="none" w:sz="0" w:space="0" w:color="auto"/>
            <w:left w:val="none" w:sz="0" w:space="0" w:color="auto"/>
            <w:bottom w:val="none" w:sz="0" w:space="0" w:color="auto"/>
            <w:right w:val="none" w:sz="0" w:space="0" w:color="auto"/>
          </w:divBdr>
        </w:div>
      </w:divsChild>
    </w:div>
    <w:div w:id="550505606">
      <w:bodyDiv w:val="1"/>
      <w:marLeft w:val="0"/>
      <w:marRight w:val="0"/>
      <w:marTop w:val="0"/>
      <w:marBottom w:val="0"/>
      <w:divBdr>
        <w:top w:val="none" w:sz="0" w:space="0" w:color="auto"/>
        <w:left w:val="none" w:sz="0" w:space="0" w:color="auto"/>
        <w:bottom w:val="none" w:sz="0" w:space="0" w:color="auto"/>
        <w:right w:val="none" w:sz="0" w:space="0" w:color="auto"/>
      </w:divBdr>
      <w:divsChild>
        <w:div w:id="518586483">
          <w:marLeft w:val="0"/>
          <w:marRight w:val="0"/>
          <w:marTop w:val="0"/>
          <w:marBottom w:val="0"/>
          <w:divBdr>
            <w:top w:val="none" w:sz="0" w:space="0" w:color="auto"/>
            <w:left w:val="none" w:sz="0" w:space="0" w:color="auto"/>
            <w:bottom w:val="none" w:sz="0" w:space="0" w:color="auto"/>
            <w:right w:val="none" w:sz="0" w:space="0" w:color="auto"/>
          </w:divBdr>
        </w:div>
        <w:div w:id="738790269">
          <w:marLeft w:val="0"/>
          <w:marRight w:val="0"/>
          <w:marTop w:val="0"/>
          <w:marBottom w:val="0"/>
          <w:divBdr>
            <w:top w:val="none" w:sz="0" w:space="0" w:color="auto"/>
            <w:left w:val="none" w:sz="0" w:space="0" w:color="auto"/>
            <w:bottom w:val="none" w:sz="0" w:space="0" w:color="auto"/>
            <w:right w:val="none" w:sz="0" w:space="0" w:color="auto"/>
          </w:divBdr>
        </w:div>
        <w:div w:id="779104864">
          <w:marLeft w:val="0"/>
          <w:marRight w:val="0"/>
          <w:marTop w:val="0"/>
          <w:marBottom w:val="0"/>
          <w:divBdr>
            <w:top w:val="none" w:sz="0" w:space="0" w:color="auto"/>
            <w:left w:val="none" w:sz="0" w:space="0" w:color="auto"/>
            <w:bottom w:val="none" w:sz="0" w:space="0" w:color="auto"/>
            <w:right w:val="none" w:sz="0" w:space="0" w:color="auto"/>
          </w:divBdr>
        </w:div>
        <w:div w:id="1181163150">
          <w:marLeft w:val="0"/>
          <w:marRight w:val="0"/>
          <w:marTop w:val="0"/>
          <w:marBottom w:val="0"/>
          <w:divBdr>
            <w:top w:val="none" w:sz="0" w:space="0" w:color="auto"/>
            <w:left w:val="none" w:sz="0" w:space="0" w:color="auto"/>
            <w:bottom w:val="none" w:sz="0" w:space="0" w:color="auto"/>
            <w:right w:val="none" w:sz="0" w:space="0" w:color="auto"/>
          </w:divBdr>
        </w:div>
        <w:div w:id="1312752865">
          <w:marLeft w:val="0"/>
          <w:marRight w:val="0"/>
          <w:marTop w:val="0"/>
          <w:marBottom w:val="0"/>
          <w:divBdr>
            <w:top w:val="none" w:sz="0" w:space="0" w:color="auto"/>
            <w:left w:val="none" w:sz="0" w:space="0" w:color="auto"/>
            <w:bottom w:val="none" w:sz="0" w:space="0" w:color="auto"/>
            <w:right w:val="none" w:sz="0" w:space="0" w:color="auto"/>
          </w:divBdr>
        </w:div>
        <w:div w:id="1370648137">
          <w:marLeft w:val="0"/>
          <w:marRight w:val="0"/>
          <w:marTop w:val="0"/>
          <w:marBottom w:val="0"/>
          <w:divBdr>
            <w:top w:val="none" w:sz="0" w:space="0" w:color="auto"/>
            <w:left w:val="none" w:sz="0" w:space="0" w:color="auto"/>
            <w:bottom w:val="none" w:sz="0" w:space="0" w:color="auto"/>
            <w:right w:val="none" w:sz="0" w:space="0" w:color="auto"/>
          </w:divBdr>
        </w:div>
      </w:divsChild>
    </w:div>
    <w:div w:id="81187053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084194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559905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6319575">
      <w:bodyDiv w:val="1"/>
      <w:marLeft w:val="0"/>
      <w:marRight w:val="0"/>
      <w:marTop w:val="0"/>
      <w:marBottom w:val="0"/>
      <w:divBdr>
        <w:top w:val="none" w:sz="0" w:space="0" w:color="auto"/>
        <w:left w:val="none" w:sz="0" w:space="0" w:color="auto"/>
        <w:bottom w:val="none" w:sz="0" w:space="0" w:color="auto"/>
        <w:right w:val="none" w:sz="0" w:space="0" w:color="auto"/>
      </w:divBdr>
    </w:div>
    <w:div w:id="1329166511">
      <w:bodyDiv w:val="1"/>
      <w:marLeft w:val="0"/>
      <w:marRight w:val="0"/>
      <w:marTop w:val="0"/>
      <w:marBottom w:val="0"/>
      <w:divBdr>
        <w:top w:val="none" w:sz="0" w:space="0" w:color="auto"/>
        <w:left w:val="none" w:sz="0" w:space="0" w:color="auto"/>
        <w:bottom w:val="none" w:sz="0" w:space="0" w:color="auto"/>
        <w:right w:val="none" w:sz="0" w:space="0" w:color="auto"/>
      </w:divBdr>
    </w:div>
    <w:div w:id="1494377135">
      <w:bodyDiv w:val="1"/>
      <w:marLeft w:val="0"/>
      <w:marRight w:val="0"/>
      <w:marTop w:val="0"/>
      <w:marBottom w:val="0"/>
      <w:divBdr>
        <w:top w:val="none" w:sz="0" w:space="0" w:color="auto"/>
        <w:left w:val="none" w:sz="0" w:space="0" w:color="auto"/>
        <w:bottom w:val="none" w:sz="0" w:space="0" w:color="auto"/>
        <w:right w:val="none" w:sz="0" w:space="0" w:color="auto"/>
      </w:divBdr>
    </w:div>
    <w:div w:id="1658341355">
      <w:bodyDiv w:val="1"/>
      <w:marLeft w:val="0"/>
      <w:marRight w:val="0"/>
      <w:marTop w:val="0"/>
      <w:marBottom w:val="0"/>
      <w:divBdr>
        <w:top w:val="none" w:sz="0" w:space="0" w:color="auto"/>
        <w:left w:val="none" w:sz="0" w:space="0" w:color="auto"/>
        <w:bottom w:val="none" w:sz="0" w:space="0" w:color="auto"/>
        <w:right w:val="none" w:sz="0" w:space="0" w:color="auto"/>
      </w:divBdr>
      <w:divsChild>
        <w:div w:id="54594630">
          <w:marLeft w:val="0"/>
          <w:marRight w:val="0"/>
          <w:marTop w:val="0"/>
          <w:marBottom w:val="0"/>
          <w:divBdr>
            <w:top w:val="none" w:sz="0" w:space="0" w:color="auto"/>
            <w:left w:val="none" w:sz="0" w:space="0" w:color="auto"/>
            <w:bottom w:val="none" w:sz="0" w:space="0" w:color="auto"/>
            <w:right w:val="none" w:sz="0" w:space="0" w:color="auto"/>
          </w:divBdr>
        </w:div>
        <w:div w:id="448472673">
          <w:marLeft w:val="0"/>
          <w:marRight w:val="0"/>
          <w:marTop w:val="0"/>
          <w:marBottom w:val="0"/>
          <w:divBdr>
            <w:top w:val="none" w:sz="0" w:space="0" w:color="auto"/>
            <w:left w:val="none" w:sz="0" w:space="0" w:color="auto"/>
            <w:bottom w:val="none" w:sz="0" w:space="0" w:color="auto"/>
            <w:right w:val="none" w:sz="0" w:space="0" w:color="auto"/>
          </w:divBdr>
        </w:div>
        <w:div w:id="1328825155">
          <w:marLeft w:val="0"/>
          <w:marRight w:val="0"/>
          <w:marTop w:val="0"/>
          <w:marBottom w:val="0"/>
          <w:divBdr>
            <w:top w:val="none" w:sz="0" w:space="0" w:color="auto"/>
            <w:left w:val="none" w:sz="0" w:space="0" w:color="auto"/>
            <w:bottom w:val="none" w:sz="0" w:space="0" w:color="auto"/>
            <w:right w:val="none" w:sz="0" w:space="0" w:color="auto"/>
          </w:divBdr>
        </w:div>
        <w:div w:id="1794519821">
          <w:marLeft w:val="0"/>
          <w:marRight w:val="0"/>
          <w:marTop w:val="0"/>
          <w:marBottom w:val="0"/>
          <w:divBdr>
            <w:top w:val="none" w:sz="0" w:space="0" w:color="auto"/>
            <w:left w:val="none" w:sz="0" w:space="0" w:color="auto"/>
            <w:bottom w:val="none" w:sz="0" w:space="0" w:color="auto"/>
            <w:right w:val="none" w:sz="0" w:space="0" w:color="auto"/>
          </w:divBdr>
        </w:div>
        <w:div w:id="2105808686">
          <w:marLeft w:val="0"/>
          <w:marRight w:val="0"/>
          <w:marTop w:val="0"/>
          <w:marBottom w:val="0"/>
          <w:divBdr>
            <w:top w:val="none" w:sz="0" w:space="0" w:color="auto"/>
            <w:left w:val="none" w:sz="0" w:space="0" w:color="auto"/>
            <w:bottom w:val="none" w:sz="0" w:space="0" w:color="auto"/>
            <w:right w:val="none" w:sz="0" w:space="0" w:color="auto"/>
          </w:divBdr>
        </w:div>
      </w:divsChild>
    </w:div>
    <w:div w:id="2090537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5AIRPNAIUNRU-859666464-9815</_dlc_DocId>
    <_dlc_DocIdUrl xmlns="71c5aaf6-e6ce-465b-b873-5148d2a4c105">
      <Url>https://nokia.sharepoint.com/sites/c5g/e2earch/_layouts/15/DocIdRedir.aspx?ID=5AIRPNAIUNRU-859666464-9815</Url>
      <Description>5AIRPNAIUNRU-859666464-9815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542997E-628A-4EF7-881F-72098F8532E7}">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3403</Words>
  <Characters>19399</Characters>
  <Application>Microsoft Office Word</Application>
  <DocSecurity>0</DocSecurity>
  <Lines>161</Lines>
  <Paragraphs>45</Paragraphs>
  <ScaleCrop>false</ScaleCrop>
  <Manager/>
  <Company>Nokia</Company>
  <LinksUpToDate>false</LinksUpToDate>
  <CharactersWithSpaces>22757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Stanczak, Jedrzej (Nokia - PL/Wroclaw)</cp:lastModifiedBy>
  <cp:revision>178</cp:revision>
  <dcterms:created xsi:type="dcterms:W3CDTF">2021-05-07T03:38:00Z</dcterms:created>
  <dcterms:modified xsi:type="dcterms:W3CDTF">2021-10-21T15:15:00Z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fbc24b0d-7dd1-42f1-9bef-4898a1126b1a</vt:lpwstr>
  </property>
</Properties>
</file>